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DB9" w:rsidRPr="00627DB9" w:rsidRDefault="00627DB9" w:rsidP="00627DB9">
      <w:pPr>
        <w:keepNext/>
        <w:spacing w:before="240" w:after="60" w:line="240" w:lineRule="auto"/>
        <w:outlineLvl w:val="3"/>
        <w:rPr>
          <w:rFonts w:ascii="Times New Roman" w:eastAsia="Times New Roman" w:hAnsi="Times New Roman" w:cs="Times New Roman"/>
          <w:b/>
          <w:bCs/>
          <w:sz w:val="28"/>
          <w:szCs w:val="28"/>
          <w:lang w:val="en-US"/>
        </w:rPr>
      </w:pPr>
      <w:bookmarkStart w:id="0" w:name="_Toc256001341"/>
      <w:r w:rsidRPr="00627DB9">
        <w:rPr>
          <w:rFonts w:ascii="Times New Roman" w:eastAsia="Times New Roman" w:hAnsi="Times New Roman" w:cs="Times New Roman"/>
          <w:b/>
          <w:bCs/>
          <w:noProof/>
          <w:sz w:val="28"/>
          <w:szCs w:val="28"/>
          <w:lang w:val="en-US"/>
        </w:rPr>
        <w:t>II.А.2. - Хуманно отношение към животните и антимикробна резистентност</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627DB9" w:rsidRPr="00627DB9" w:rsidTr="00517E0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7DB9" w:rsidRPr="00627DB9" w:rsidRDefault="00627DB9" w:rsidP="00627DB9">
            <w:pPr>
              <w:spacing w:after="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7DB9" w:rsidRPr="00627DB9" w:rsidRDefault="00627DB9" w:rsidP="00627DB9">
            <w:pPr>
              <w:spacing w:after="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II.А.2.</w:t>
            </w:r>
          </w:p>
        </w:tc>
      </w:tr>
      <w:tr w:rsidR="00627DB9" w:rsidRPr="00627DB9" w:rsidTr="00517E0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7DB9" w:rsidRPr="00627DB9" w:rsidRDefault="00627DB9" w:rsidP="00627DB9">
            <w:pPr>
              <w:spacing w:after="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7DB9" w:rsidRPr="00627DB9" w:rsidRDefault="00627DB9" w:rsidP="00627DB9">
            <w:pPr>
              <w:spacing w:after="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Хуманно отношение към животните и антимикробна резистентност</w:t>
            </w:r>
          </w:p>
        </w:tc>
      </w:tr>
      <w:tr w:rsidR="00627DB9" w:rsidRPr="00627DB9" w:rsidTr="00517E0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7DB9" w:rsidRPr="00627DB9" w:rsidRDefault="00627DB9" w:rsidP="00627DB9">
            <w:pPr>
              <w:spacing w:after="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7DB9" w:rsidRPr="00627DB9" w:rsidRDefault="00627DB9" w:rsidP="00627DB9">
            <w:pPr>
              <w:spacing w:after="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ENVCLIM(70) - Задължения в областта на околната среда и климата и други задължения в областта на управлението</w:t>
            </w:r>
          </w:p>
        </w:tc>
      </w:tr>
      <w:tr w:rsidR="00627DB9" w:rsidRPr="00627DB9" w:rsidTr="00517E0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7DB9" w:rsidRPr="00627DB9" w:rsidRDefault="00627DB9" w:rsidP="00627DB9">
            <w:pPr>
              <w:spacing w:after="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7DB9" w:rsidRPr="00627DB9" w:rsidRDefault="00627DB9" w:rsidP="00627DB9">
            <w:pPr>
              <w:spacing w:after="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O.18. Брой на животинските единици, ползващи се от подпомагане за мерки, насочени към хуманното отношение към животните, здравеопазването или повишаването на биологичната сигурност</w:t>
            </w:r>
          </w:p>
        </w:tc>
      </w:tr>
      <w:tr w:rsidR="00627DB9" w:rsidRPr="00627DB9" w:rsidTr="00517E0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7DB9" w:rsidRPr="00627DB9" w:rsidRDefault="00627DB9" w:rsidP="00627DB9">
            <w:pPr>
              <w:spacing w:after="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Участие за изискването за обособяване на средства за/на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7DB9" w:rsidRPr="00627DB9" w:rsidRDefault="00627DB9" w:rsidP="00627DB9">
            <w:pPr>
              <w:spacing w:after="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Приемственост между поколенията: Не</w:t>
            </w:r>
          </w:p>
          <w:p w:rsidR="00627DB9" w:rsidRPr="00627DB9" w:rsidRDefault="00627DB9" w:rsidP="00627DB9">
            <w:pPr>
              <w:spacing w:after="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Околна среда: Да</w:t>
            </w:r>
          </w:p>
          <w:p w:rsidR="00627DB9" w:rsidRPr="00627DB9" w:rsidRDefault="00627DB9" w:rsidP="00627DB9">
            <w:pPr>
              <w:spacing w:after="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Система за облекчения за екосхеми: Не</w:t>
            </w:r>
          </w:p>
          <w:p w:rsidR="00627DB9" w:rsidRPr="00627DB9" w:rsidRDefault="00627DB9" w:rsidP="00627DB9">
            <w:pPr>
              <w:spacing w:after="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Подход LEADER: Не</w:t>
            </w:r>
          </w:p>
        </w:tc>
      </w:tr>
    </w:tbl>
    <w:p w:rsidR="00627DB9" w:rsidRPr="00627DB9" w:rsidRDefault="00627DB9" w:rsidP="00627DB9">
      <w:pPr>
        <w:spacing w:before="240" w:after="60" w:line="240" w:lineRule="auto"/>
        <w:outlineLvl w:val="4"/>
        <w:rPr>
          <w:rFonts w:ascii="Times New Roman" w:eastAsia="Times New Roman" w:hAnsi="Times New Roman" w:cs="Times New Roman"/>
          <w:bCs/>
          <w:i/>
          <w:iCs/>
          <w:color w:val="000000"/>
          <w:sz w:val="24"/>
          <w:szCs w:val="26"/>
          <w:lang w:val="en-US"/>
        </w:rPr>
      </w:pPr>
      <w:bookmarkStart w:id="1" w:name="_Toc256001342"/>
      <w:r w:rsidRPr="00627DB9">
        <w:rPr>
          <w:rFonts w:ascii="Times New Roman" w:eastAsia="Times New Roman" w:hAnsi="Times New Roman" w:cs="Times New Roman"/>
          <w:bCs/>
          <w:i/>
          <w:iCs/>
          <w:noProof/>
          <w:color w:val="000000"/>
          <w:sz w:val="24"/>
          <w:szCs w:val="26"/>
          <w:lang w:val="en-US"/>
        </w:rPr>
        <w:t>1 Териториално приложение и ако е уместно, регионално измерение</w:t>
      </w:r>
      <w:bookmarkEnd w:id="1"/>
    </w:p>
    <w:p w:rsidR="00627DB9" w:rsidRPr="00627DB9" w:rsidRDefault="00627DB9" w:rsidP="00627DB9">
      <w:pPr>
        <w:spacing w:after="0" w:line="240" w:lineRule="auto"/>
        <w:rPr>
          <w:rFonts w:ascii="Times New Roman" w:eastAsia="Times New Roman" w:hAnsi="Times New Roman" w:cs="Times New Roman"/>
          <w:color w:val="000000"/>
          <w:sz w:val="0"/>
          <w:szCs w:val="24"/>
          <w:lang w:val="en-US"/>
        </w:rPr>
      </w:pPr>
      <w:r w:rsidRPr="00627DB9">
        <w:rPr>
          <w:rFonts w:ascii="Times New Roman" w:eastAsia="Times New Roman" w:hAnsi="Times New Roman" w:cs="Times New Roman"/>
          <w:noProof/>
          <w:color w:val="000000"/>
          <w:sz w:val="24"/>
          <w:szCs w:val="24"/>
          <w:lang w:val="en-US"/>
        </w:rPr>
        <w:t xml:space="preserve">Териториално приложение: </w:t>
      </w:r>
      <w:r w:rsidRPr="00627DB9">
        <w:rPr>
          <w:rFonts w:ascii="Times New Roman" w:eastAsia="Times New Roman" w:hAnsi="Times New Roman" w:cs="Times New Roman"/>
          <w:b/>
          <w:noProof/>
          <w:color w:val="000000"/>
          <w:sz w:val="24"/>
          <w:szCs w:val="24"/>
          <w:lang w:val="en-US"/>
        </w:rPr>
        <w:t>Национално равнище</w:t>
      </w:r>
    </w:p>
    <w:p w:rsidR="00627DB9" w:rsidRPr="00627DB9" w:rsidRDefault="00627DB9" w:rsidP="00627DB9">
      <w:pPr>
        <w:spacing w:after="0" w:line="240" w:lineRule="auto"/>
        <w:rPr>
          <w:rFonts w:ascii="Times New Roman" w:eastAsia="Times New Roman" w:hAnsi="Times New Roman" w:cs="Times New Roman"/>
          <w:color w:val="000000"/>
          <w:sz w:val="0"/>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627DB9" w:rsidRPr="00627DB9" w:rsidTr="00517E0C">
        <w:trPr>
          <w:trHeight w:val="160"/>
          <w:tblHeader/>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627DB9" w:rsidRPr="00627DB9" w:rsidRDefault="00627DB9" w:rsidP="00627DB9">
            <w:pPr>
              <w:spacing w:after="0" w:line="240" w:lineRule="auto"/>
              <w:rPr>
                <w:rFonts w:ascii="Times New Roman" w:eastAsia="Times New Roman" w:hAnsi="Times New Roman" w:cs="Times New Roman"/>
                <w:b/>
                <w:color w:val="000000"/>
                <w:sz w:val="20"/>
                <w:szCs w:val="24"/>
                <w:lang w:val="en-US"/>
              </w:rPr>
            </w:pPr>
            <w:r w:rsidRPr="00627DB9">
              <w:rPr>
                <w:rFonts w:ascii="Times New Roman" w:eastAsia="Times New Roman" w:hAnsi="Times New Roman" w:cs="Times New Roman"/>
                <w:b/>
                <w:noProof/>
                <w:color w:val="000000"/>
                <w:sz w:val="20"/>
                <w:szCs w:val="24"/>
                <w:lang w:val="en-US"/>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627DB9" w:rsidRPr="00627DB9" w:rsidRDefault="00627DB9" w:rsidP="00627DB9">
            <w:pPr>
              <w:spacing w:after="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b/>
                <w:noProof/>
                <w:color w:val="000000"/>
                <w:sz w:val="20"/>
                <w:szCs w:val="24"/>
                <w:lang w:val="en-US"/>
              </w:rPr>
              <w:t>Описание</w:t>
            </w:r>
          </w:p>
        </w:tc>
      </w:tr>
      <w:tr w:rsidR="00627DB9" w:rsidRPr="00627DB9" w:rsidTr="00517E0C">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7DB9" w:rsidRPr="00627DB9" w:rsidRDefault="00627DB9" w:rsidP="00627DB9">
            <w:pPr>
              <w:spacing w:after="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627DB9" w:rsidRPr="00627DB9" w:rsidRDefault="00627DB9" w:rsidP="00627DB9">
            <w:pPr>
              <w:spacing w:after="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 xml:space="preserve">България </w:t>
            </w:r>
          </w:p>
        </w:tc>
      </w:tr>
    </w:tbl>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627DB9" w:rsidRPr="00627DB9" w:rsidTr="00517E0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NUTS 0 BG България</w:t>
            </w:r>
          </w:p>
        </w:tc>
      </w:tr>
    </w:tbl>
    <w:p w:rsidR="00627DB9" w:rsidRPr="00627DB9" w:rsidRDefault="00627DB9" w:rsidP="00627DB9">
      <w:pPr>
        <w:spacing w:before="20" w:after="20" w:line="240" w:lineRule="auto"/>
        <w:outlineLvl w:val="4"/>
        <w:rPr>
          <w:rFonts w:ascii="Times New Roman" w:eastAsia="Times New Roman" w:hAnsi="Times New Roman" w:cs="Times New Roman"/>
          <w:bCs/>
          <w:iCs/>
          <w:color w:val="000000"/>
          <w:sz w:val="24"/>
          <w:szCs w:val="26"/>
          <w:lang w:val="en-US"/>
        </w:rPr>
      </w:pPr>
      <w:bookmarkStart w:id="2" w:name="_Toc256001343"/>
      <w:r w:rsidRPr="00627DB9">
        <w:rPr>
          <w:rFonts w:ascii="Times New Roman" w:eastAsia="Times New Roman" w:hAnsi="Times New Roman" w:cs="Times New Roman"/>
          <w:bCs/>
          <w:iCs/>
          <w:noProof/>
          <w:color w:val="000000"/>
          <w:sz w:val="24"/>
          <w:szCs w:val="26"/>
          <w:lang w:val="en-US"/>
        </w:rPr>
        <w:t>2 Свързани специфични цели, междусекторна цел и уместни секторни цели</w:t>
      </w:r>
      <w:bookmarkEnd w:id="2"/>
    </w:p>
    <w:p w:rsidR="00627DB9" w:rsidRPr="00627DB9" w:rsidRDefault="00627DB9" w:rsidP="00627DB9">
      <w:pPr>
        <w:spacing w:before="20" w:after="20" w:line="240" w:lineRule="auto"/>
        <w:rPr>
          <w:rFonts w:ascii="Times New Roman" w:eastAsia="Times New Roman" w:hAnsi="Times New Roman" w:cs="Times New Roman"/>
          <w:color w:val="000000"/>
          <w:sz w:val="0"/>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627DB9" w:rsidRPr="00627DB9" w:rsidTr="00517E0C">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b/>
                <w:noProof/>
                <w:color w:val="000000"/>
                <w:sz w:val="20"/>
                <w:szCs w:val="24"/>
                <w:lang w:val="en-US"/>
              </w:rPr>
              <w:t>Код на СПЕЦИФИЧНАТА ЦЕЛ НА ОСП + описание</w:t>
            </w:r>
            <w:r w:rsidRPr="00627DB9">
              <w:rPr>
                <w:rFonts w:ascii="Times New Roman" w:eastAsia="Times New Roman" w:hAnsi="Times New Roman" w:cs="Times New Roman"/>
                <w:noProof/>
                <w:color w:val="000000"/>
                <w:sz w:val="20"/>
                <w:szCs w:val="24"/>
                <w:lang w:val="en-US"/>
              </w:rPr>
              <w:t xml:space="preserve"> Препоръчителните специфични цели на ОСП за този вид интервенция са обозначени с получер шрифт</w:t>
            </w:r>
          </w:p>
        </w:tc>
      </w:tr>
      <w:tr w:rsidR="00627DB9" w:rsidRPr="00627DB9" w:rsidTr="00517E0C">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SO9 Подобряване на отговора на селското стопанство в Съюза на обществените нужди от храна и здравеопазване, включително висококачествени, безопасни и питателни храни, произвеждани по устойчив начин, намаляване на хранителните отпадъци, както и подобряване на хуманното отношение към животните и борба с резистентностите към антимикробни средства</w:t>
            </w:r>
          </w:p>
        </w:tc>
      </w:tr>
    </w:tbl>
    <w:p w:rsidR="00627DB9" w:rsidRPr="00627DB9" w:rsidRDefault="00627DB9" w:rsidP="00627DB9">
      <w:pPr>
        <w:spacing w:before="20" w:after="20" w:line="240" w:lineRule="auto"/>
        <w:rPr>
          <w:rFonts w:ascii="Times New Roman" w:eastAsia="Times New Roman" w:hAnsi="Times New Roman" w:cs="Times New Roman"/>
          <w:color w:val="000000"/>
          <w:sz w:val="0"/>
          <w:szCs w:val="24"/>
          <w:lang w:val="en-US"/>
        </w:rPr>
      </w:pPr>
    </w:p>
    <w:p w:rsidR="00627DB9" w:rsidRPr="00627DB9" w:rsidRDefault="00627DB9" w:rsidP="00627DB9">
      <w:pPr>
        <w:spacing w:before="20" w:after="20" w:line="240" w:lineRule="auto"/>
        <w:outlineLvl w:val="4"/>
        <w:rPr>
          <w:rFonts w:ascii="Times New Roman" w:eastAsia="Times New Roman" w:hAnsi="Times New Roman" w:cs="Times New Roman"/>
          <w:bCs/>
          <w:iCs/>
          <w:color w:val="000000"/>
          <w:sz w:val="24"/>
          <w:szCs w:val="26"/>
          <w:lang w:val="en-US"/>
        </w:rPr>
      </w:pPr>
      <w:bookmarkStart w:id="3" w:name="_Toc256001344"/>
      <w:r w:rsidRPr="00627DB9">
        <w:rPr>
          <w:rFonts w:ascii="Times New Roman" w:eastAsia="Times New Roman" w:hAnsi="Times New Roman" w:cs="Times New Roman"/>
          <w:bCs/>
          <w:iCs/>
          <w:noProof/>
          <w:color w:val="000000"/>
          <w:sz w:val="24"/>
          <w:szCs w:val="26"/>
          <w:lang w:val="en-US"/>
        </w:rPr>
        <w:t>3 Потребности, обхванати от интервенцията</w:t>
      </w:r>
      <w:bookmarkEnd w:id="3"/>
    </w:p>
    <w:p w:rsidR="00627DB9" w:rsidRPr="00627DB9" w:rsidRDefault="00627DB9" w:rsidP="00627DB9">
      <w:pPr>
        <w:spacing w:before="20" w:after="20" w:line="240" w:lineRule="auto"/>
        <w:rPr>
          <w:rFonts w:ascii="Times New Roman" w:eastAsia="Times New Roman" w:hAnsi="Times New Roman" w:cs="Times New Roman"/>
          <w:color w:val="000000"/>
          <w:sz w:val="0"/>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0"/>
        <w:gridCol w:w="2560"/>
        <w:gridCol w:w="2560"/>
        <w:gridCol w:w="2560"/>
      </w:tblGrid>
      <w:tr w:rsidR="00627DB9" w:rsidRPr="00627DB9" w:rsidTr="00517E0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7DB9" w:rsidRPr="00627DB9" w:rsidRDefault="00627DB9" w:rsidP="00627DB9">
            <w:pPr>
              <w:spacing w:before="20" w:after="20" w:line="240" w:lineRule="auto"/>
              <w:rPr>
                <w:rFonts w:ascii="Times New Roman" w:eastAsia="Times New Roman" w:hAnsi="Times New Roman" w:cs="Times New Roman"/>
                <w:b/>
                <w:color w:val="000000"/>
                <w:sz w:val="20"/>
                <w:szCs w:val="24"/>
                <w:lang w:val="en-US"/>
              </w:rPr>
            </w:pPr>
            <w:r w:rsidRPr="00627DB9">
              <w:rPr>
                <w:rFonts w:ascii="Times New Roman" w:eastAsia="Times New Roman" w:hAnsi="Times New Roman" w:cs="Times New Roman"/>
                <w:b/>
                <w:noProof/>
                <w:color w:val="000000"/>
                <w:sz w:val="20"/>
                <w:szCs w:val="24"/>
                <w:lang w:val="en-US"/>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7DB9" w:rsidRPr="00627DB9" w:rsidRDefault="00627DB9" w:rsidP="00627DB9">
            <w:pPr>
              <w:spacing w:before="20" w:after="20" w:line="240" w:lineRule="auto"/>
              <w:rPr>
                <w:rFonts w:ascii="Times New Roman" w:eastAsia="Times New Roman" w:hAnsi="Times New Roman" w:cs="Times New Roman"/>
                <w:b/>
                <w:color w:val="000000"/>
                <w:sz w:val="20"/>
                <w:szCs w:val="24"/>
                <w:lang w:val="en-US"/>
              </w:rPr>
            </w:pPr>
            <w:r w:rsidRPr="00627DB9">
              <w:rPr>
                <w:rFonts w:ascii="Times New Roman" w:eastAsia="Times New Roman" w:hAnsi="Times New Roman" w:cs="Times New Roman"/>
                <w:b/>
                <w:noProof/>
                <w:color w:val="000000"/>
                <w:sz w:val="20"/>
                <w:szCs w:val="24"/>
                <w:lang w:val="en-US"/>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7DB9" w:rsidRPr="00627DB9" w:rsidRDefault="00627DB9" w:rsidP="00627DB9">
            <w:pPr>
              <w:spacing w:before="20" w:after="20" w:line="240" w:lineRule="auto"/>
              <w:rPr>
                <w:rFonts w:ascii="Times New Roman" w:eastAsia="Times New Roman" w:hAnsi="Times New Roman" w:cs="Times New Roman"/>
                <w:b/>
                <w:color w:val="000000"/>
                <w:sz w:val="20"/>
                <w:szCs w:val="24"/>
                <w:lang w:val="en-US"/>
              </w:rPr>
            </w:pPr>
            <w:r w:rsidRPr="00627DB9">
              <w:rPr>
                <w:rFonts w:ascii="Times New Roman" w:eastAsia="Times New Roman" w:hAnsi="Times New Roman" w:cs="Times New Roman"/>
                <w:b/>
                <w:noProof/>
                <w:color w:val="000000"/>
                <w:sz w:val="20"/>
                <w:szCs w:val="24"/>
                <w:lang w:val="en-US"/>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b/>
                <w:noProof/>
                <w:color w:val="000000"/>
                <w:sz w:val="20"/>
                <w:szCs w:val="24"/>
                <w:lang w:val="en-US"/>
              </w:rPr>
              <w:t>Разгледана в стратегически план по ОСП</w:t>
            </w:r>
          </w:p>
        </w:tc>
      </w:tr>
      <w:tr w:rsidR="00627DB9" w:rsidRPr="00627DB9" w:rsidTr="00517E0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П.9.6.</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Подобряване отглеждането на животните</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Много висок</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Да</w:t>
            </w:r>
          </w:p>
        </w:tc>
      </w:tr>
    </w:tbl>
    <w:p w:rsidR="00627DB9" w:rsidRPr="00627DB9" w:rsidRDefault="00627DB9" w:rsidP="00627DB9">
      <w:pPr>
        <w:spacing w:before="20" w:after="20" w:line="240" w:lineRule="auto"/>
        <w:outlineLvl w:val="4"/>
        <w:rPr>
          <w:rFonts w:ascii="Times New Roman" w:eastAsia="Times New Roman" w:hAnsi="Times New Roman" w:cs="Times New Roman"/>
          <w:bCs/>
          <w:iCs/>
          <w:color w:val="000000"/>
          <w:sz w:val="24"/>
          <w:szCs w:val="26"/>
          <w:lang w:val="en-US"/>
        </w:rPr>
      </w:pPr>
      <w:bookmarkStart w:id="4" w:name="_Toc256001345"/>
      <w:r w:rsidRPr="00627DB9">
        <w:rPr>
          <w:rFonts w:ascii="Times New Roman" w:eastAsia="Times New Roman" w:hAnsi="Times New Roman" w:cs="Times New Roman"/>
          <w:bCs/>
          <w:iCs/>
          <w:noProof/>
          <w:color w:val="000000"/>
          <w:sz w:val="24"/>
          <w:szCs w:val="26"/>
          <w:lang w:val="en-US"/>
        </w:rPr>
        <w:t>4 Показател(и) за резултатите</w:t>
      </w:r>
      <w:bookmarkEnd w:id="4"/>
    </w:p>
    <w:p w:rsidR="00627DB9" w:rsidRPr="00627DB9" w:rsidRDefault="00627DB9" w:rsidP="00627DB9">
      <w:pPr>
        <w:spacing w:before="20" w:after="20" w:line="240" w:lineRule="auto"/>
        <w:rPr>
          <w:rFonts w:ascii="Times New Roman" w:eastAsia="Times New Roman" w:hAnsi="Times New Roman" w:cs="Times New Roman"/>
          <w:color w:val="000000"/>
          <w:sz w:val="0"/>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627DB9" w:rsidRPr="00627DB9" w:rsidTr="00517E0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b/>
                <w:noProof/>
                <w:color w:val="000000"/>
                <w:sz w:val="20"/>
                <w:szCs w:val="24"/>
                <w:lang w:val="en-US"/>
              </w:rPr>
              <w:t>Код на ПОКАЗАТЕЛИТЕ ЗА РЕЗУЛТАТИТЕ + описание</w:t>
            </w:r>
            <w:r w:rsidRPr="00627DB9">
              <w:rPr>
                <w:rFonts w:ascii="Times New Roman" w:eastAsia="Times New Roman" w:hAnsi="Times New Roman" w:cs="Times New Roman"/>
                <w:noProof/>
                <w:color w:val="000000"/>
                <w:sz w:val="20"/>
                <w:szCs w:val="24"/>
                <w:lang w:val="en-US"/>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627DB9" w:rsidRPr="00627DB9" w:rsidTr="00517E0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R.43 Дял на животинските единици, засегнати от подпомогнати действия за ограничаване използването на антимикробни средства (предотвратяване/намаляване)</w:t>
            </w:r>
          </w:p>
        </w:tc>
      </w:tr>
      <w:tr w:rsidR="00627DB9" w:rsidRPr="00627DB9" w:rsidTr="00517E0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R.44 Дял на животинските единици, попадащи в обхвата на подпомогнати действия за подобряване на хуманното отношение към животните</w:t>
            </w:r>
          </w:p>
        </w:tc>
      </w:tr>
    </w:tbl>
    <w:p w:rsidR="00627DB9" w:rsidRPr="00627DB9" w:rsidRDefault="00627DB9" w:rsidP="00627DB9">
      <w:pPr>
        <w:spacing w:before="20" w:after="20" w:line="240" w:lineRule="auto"/>
        <w:outlineLvl w:val="4"/>
        <w:rPr>
          <w:rFonts w:ascii="Times New Roman" w:eastAsia="Times New Roman" w:hAnsi="Times New Roman" w:cs="Times New Roman"/>
          <w:bCs/>
          <w:iCs/>
          <w:color w:val="000000"/>
          <w:sz w:val="24"/>
          <w:szCs w:val="26"/>
          <w:lang w:val="en-US"/>
        </w:rPr>
      </w:pPr>
      <w:bookmarkStart w:id="5" w:name="_Toc256001346"/>
      <w:r w:rsidRPr="00627DB9">
        <w:rPr>
          <w:rFonts w:ascii="Times New Roman" w:eastAsia="Times New Roman" w:hAnsi="Times New Roman" w:cs="Times New Roman"/>
          <w:bCs/>
          <w:iCs/>
          <w:noProof/>
          <w:color w:val="000000"/>
          <w:sz w:val="24"/>
          <w:szCs w:val="26"/>
          <w:lang w:val="en-US"/>
        </w:rPr>
        <w:t>5 Конкретен план, изисквания и условия за допустимост на интервенцията</w:t>
      </w:r>
      <w:bookmarkEnd w:id="5"/>
    </w:p>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Опишете какви са специфичните цели и съдържанието на интервенцията, включително специфично насочване, принципи за избор, връзки към съответното законодателство, взаимно допълване с други интервенции/набори от операции в двата стълба и друга релевантна информация.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627DB9" w:rsidRPr="00627DB9" w:rsidTr="00517E0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Чрез предвидените дейности по интервенцията ще се осигури по-дълъг период на пасищно отглеждане и повече свободно пространство на използваната площ над нормите за настаняване на отглежданите животни, което ще окаже благоприятно влияние върху тяхното здраве и благосъстояние, ще подобри жизнеността им и ще спомогне за повишаване накачеството на произведената продукция.</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 xml:space="preserve">Интервенцията цели и намаляване употребата на антимикробните средства, като същевременно се подобри здравето на животните. Интервенцията адресира проблема с нарастващата заплаха от </w:t>
            </w:r>
            <w:r w:rsidRPr="00627DB9">
              <w:rPr>
                <w:rFonts w:ascii="Times New Roman" w:eastAsia="Times New Roman" w:hAnsi="Times New Roman" w:cs="Times New Roman"/>
                <w:noProof/>
                <w:sz w:val="24"/>
                <w:szCs w:val="24"/>
                <w:lang w:val="en-US"/>
              </w:rPr>
              <w:lastRenderedPageBreak/>
              <w:t>антимикробната резистентност (АМР), тъй като намаляването на употребата на антимикробни средства при животни, отглеждани за производство на храни, в дългосрочен план води до намаляване наличието на микроорганизми, резистентни на антимикробни средства при тези животни. Превенцията на инфекциите стои в основата на намаляването на употребата и необходимостта от антимикробни средства, поради което дейността е насочена към подобряване здравния статус на животните чрез изпълнение на мерки, които допринасят да се намали употребата на антибиотици и да се подобри устойчивостта на животните към инфекции, като същите не са задължителни и не се заплащат от държавния бюджет съгласно Националната програма за профилактика, надзор, контрол и ликвидиране на болестите по животните и не са забранени съгласно политиката на Европейската комисия за борба с болестите по животните.</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По интервенцията ще се предоставя финансова помощ за допълнителни разходи и пропуснати доходи, в следствие на доброволно поети едногодишни ангажименти за хуманно отношение към животните, както и намаляване антимикробната резистентност при отглеждане на ЕПЖ /говеда и биволи/ и ДПЖ /животни от рода на овцете и козите/.</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Годишните плащания се предоставят при поемане на доброволен ангажимент за изпълнение на следните дейности или комбинация от тях, при отглеждане на ЕПЖ и ДПЖ:</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 Осигуряване на благоприятна жизнена среда/свободна подова площ на животните;</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 Осигуряване на свободно отглеждане на открито;</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 Намаляване употребата на антимикробни средства.</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1. Осигуряване на благоприятна жизнена среда/свободна подова площ на животните.</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Изпълнението на тази дейност изисква осигуряването на свободна използваема площ, не по-малка от 15 % над задължителния стандарт. Свободна използваема площ над задължителния стандарт, определен с минималните норми за настаняване следва да бъде осигурена за всички животни от допустимите категории по дейност за осигуряване на благоприятна жизнена среда/свободна подова площ, отглеждани в животновъдния обект, в който се изпълнява дейността. Дейността ще се изпълнява в две направления:</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 Осигуряване на благоприятна жизнена среда/свободна подова площ за ЕПЖ;</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 Осигуряване на благоприятна жизнена среда/свободна подова площ за ДПЖ;</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2. Осигуряване на свободно отглеждане на открито</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Дейността се прилага за следните категории животни:</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 говеда и биволи над 6-месечна възраст;</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 животни от рода на овцете и козите.</w:t>
            </w:r>
          </w:p>
          <w:p w:rsidR="00627DB9" w:rsidRPr="00627DB9" w:rsidRDefault="00627DB9" w:rsidP="0077509A">
            <w:pPr>
              <w:spacing w:before="40" w:after="40" w:line="240" w:lineRule="auto"/>
              <w:jc w:val="both"/>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 xml:space="preserve">Заявените по дейността животни следва поне 160 дни годишно да бъдат отглеждани на открито, от които 40 дни могат да бъдат на двора, но минимум 120 дни за свободно пашуване. Пашата от поне 120 дни в годината се извършва в периода между 15 март и 15 ноември, при спазване на гъстота на заявените животински единици на цялата пасищна площ на стопанството, </w:t>
            </w:r>
            <w:bookmarkStart w:id="6" w:name="_GoBack"/>
            <w:bookmarkEnd w:id="6"/>
            <w:r w:rsidRPr="00627DB9">
              <w:rPr>
                <w:rFonts w:ascii="Times New Roman" w:eastAsia="Times New Roman" w:hAnsi="Times New Roman" w:cs="Times New Roman"/>
                <w:noProof/>
                <w:sz w:val="24"/>
                <w:szCs w:val="24"/>
                <w:lang w:val="en-US"/>
              </w:rPr>
              <w:t xml:space="preserve">на която се извършва пашата в периода на извършване на дейността, до не повече от 2 ЖЕ/хектар. </w:t>
            </w:r>
            <w:r w:rsidR="0077509A" w:rsidRPr="0077509A">
              <w:rPr>
                <w:rFonts w:ascii="Times New Roman" w:eastAsia="Times New Roman" w:hAnsi="Times New Roman" w:cs="Times New Roman"/>
                <w:noProof/>
                <w:sz w:val="24"/>
                <w:szCs w:val="24"/>
                <w:lang w:val="en-US"/>
              </w:rPr>
              <w:t xml:space="preserve">От 2025 г. е предвидено в обхвата на определяне на гъстота на всички пасищни животни към всички постоянно затревени площи да бъдат включени и обработваеми земи, заети с фуражни култури и/или протеинови култури, при условие, че в периода на свободно отглеждане на животните е осигурена достатъчно пасищна площ с цел свеждане до минимум на прекомерната паша (преизпасването), деградацията на почвата, ерозията и замърсяването, причинени от животински тор. </w:t>
            </w:r>
            <w:r w:rsidRPr="00627DB9">
              <w:rPr>
                <w:rFonts w:ascii="Times New Roman" w:eastAsia="Times New Roman" w:hAnsi="Times New Roman" w:cs="Times New Roman"/>
                <w:noProof/>
                <w:sz w:val="24"/>
                <w:szCs w:val="24"/>
                <w:lang w:val="en-US"/>
              </w:rPr>
              <w:t xml:space="preserve"> </w:t>
            </w:r>
            <w:r w:rsidRPr="00627DB9">
              <w:rPr>
                <w:rFonts w:ascii="Times New Roman" w:eastAsia="Times New Roman" w:hAnsi="Times New Roman" w:cs="Times New Roman"/>
                <w:strike/>
                <w:noProof/>
                <w:color w:val="FF0000"/>
                <w:sz w:val="24"/>
                <w:szCs w:val="24"/>
                <w:lang w:val="en-US"/>
              </w:rPr>
              <w:t>При заявяване на дейността з</w:t>
            </w:r>
            <w:r w:rsidR="00DB3231" w:rsidRPr="00DB3231">
              <w:rPr>
                <w:rFonts w:ascii="Times New Roman" w:eastAsia="Times New Roman" w:hAnsi="Times New Roman" w:cs="Times New Roman"/>
                <w:noProof/>
                <w:color w:val="FF0000"/>
                <w:sz w:val="24"/>
                <w:szCs w:val="24"/>
                <w:lang w:val="bg-BG"/>
              </w:rPr>
              <w:t>З</w:t>
            </w:r>
            <w:r w:rsidRPr="00627DB9">
              <w:rPr>
                <w:rFonts w:ascii="Times New Roman" w:eastAsia="Times New Roman" w:hAnsi="Times New Roman" w:cs="Times New Roman"/>
                <w:noProof/>
                <w:sz w:val="24"/>
                <w:szCs w:val="24"/>
                <w:lang w:val="en-US"/>
              </w:rPr>
              <w:t>емеделският стопанин има съотношение на пасищни животни към всички постоянно затревени площи и площи, заети с фуражни култури и/или протеинови култури в стопанството в размер до не повече от 2 ЖЕ/хектар. На поне едно от всяко 50-то животно от заявените по дейността се поставя устройство позволяващо проследяване на движението му след предоставянето му на земеделския стопанин.</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3. Намаляване употребата на антимикробни средства:</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 xml:space="preserve">Дейността изисква изпълнение на програма за превенция и контрол на значимите заболявания на ниво животновъден обект. Прилагането на ваксинацията е един от методите за превенцията на инфекциите, която се използва за намаляването на употребата и необходимостта от антимикробни средства. Подпомагане по дейността се отпуска за покриване на допълнителни разходи за </w:t>
            </w:r>
            <w:r w:rsidRPr="00627DB9">
              <w:rPr>
                <w:rFonts w:ascii="Times New Roman" w:eastAsia="Times New Roman" w:hAnsi="Times New Roman" w:cs="Times New Roman"/>
                <w:noProof/>
                <w:sz w:val="24"/>
                <w:szCs w:val="24"/>
                <w:lang w:val="en-US"/>
              </w:rPr>
              <w:lastRenderedPageBreak/>
              <w:t>имунопрофилактични мероприятия на значими бактериални, както и значими вирусни заболявания, причиняващи вторични инфекции, за които има одобрени ваксини, но същите не попадат в обхвата на мерките от Националната програма за профилактика, надзор, контрол и ликвидиране на болестите по животните, включително зоонозите, финансирани от държавния бюджет. За периода 2022-2024 г. с Решение № 156 от 18 март 2022 г. на МС е одобрена Националната програма за профилактика, надзор</w:t>
            </w:r>
            <w:r w:rsidR="00A15427" w:rsidRPr="00A15427">
              <w:rPr>
                <w:rFonts w:ascii="Times New Roman" w:eastAsia="Times New Roman" w:hAnsi="Times New Roman" w:cs="Times New Roman"/>
                <w:noProof/>
                <w:color w:val="FF0000"/>
                <w:sz w:val="24"/>
                <w:szCs w:val="24"/>
                <w:lang w:val="bg-BG"/>
              </w:rPr>
              <w:t>, контрол</w:t>
            </w:r>
            <w:r w:rsidRPr="00627DB9">
              <w:rPr>
                <w:rFonts w:ascii="Times New Roman" w:eastAsia="Times New Roman" w:hAnsi="Times New Roman" w:cs="Times New Roman"/>
                <w:noProof/>
                <w:color w:val="FF0000"/>
                <w:sz w:val="24"/>
                <w:szCs w:val="24"/>
                <w:lang w:val="en-US"/>
              </w:rPr>
              <w:t xml:space="preserve"> </w:t>
            </w:r>
            <w:r w:rsidRPr="00627DB9">
              <w:rPr>
                <w:rFonts w:ascii="Times New Roman" w:eastAsia="Times New Roman" w:hAnsi="Times New Roman" w:cs="Times New Roman"/>
                <w:noProof/>
                <w:sz w:val="24"/>
                <w:szCs w:val="24"/>
                <w:lang w:val="en-US"/>
              </w:rPr>
              <w:t xml:space="preserve">и ликвидиране на болестите по животните, включително зоонозите, в Република България за периода 2022 – 2024 г. </w:t>
            </w:r>
            <w:r w:rsidR="00A15427" w:rsidRPr="00A15427">
              <w:rPr>
                <w:rFonts w:ascii="Times New Roman" w:eastAsia="Times New Roman" w:hAnsi="Times New Roman" w:cs="Times New Roman"/>
                <w:noProof/>
                <w:color w:val="FF0000"/>
                <w:sz w:val="24"/>
                <w:szCs w:val="24"/>
                <w:lang w:val="bg-BG"/>
              </w:rPr>
              <w:t xml:space="preserve">С </w:t>
            </w:r>
            <w:r w:rsidR="00A15427" w:rsidRPr="00A15427">
              <w:rPr>
                <w:rFonts w:ascii="Times New Roman" w:eastAsia="Times New Roman" w:hAnsi="Times New Roman" w:cs="Times New Roman"/>
                <w:noProof/>
                <w:color w:val="FF0000"/>
                <w:sz w:val="24"/>
                <w:szCs w:val="24"/>
                <w:lang w:val="en-US"/>
              </w:rPr>
              <w:t xml:space="preserve">Решение № </w:t>
            </w:r>
            <w:r w:rsidR="00A15427" w:rsidRPr="00A15427">
              <w:rPr>
                <w:rFonts w:ascii="Times New Roman" w:eastAsia="Times New Roman" w:hAnsi="Times New Roman" w:cs="Times New Roman"/>
                <w:noProof/>
                <w:color w:val="FF0000"/>
                <w:sz w:val="24"/>
                <w:szCs w:val="24"/>
                <w:lang w:val="bg-BG"/>
              </w:rPr>
              <w:t>853</w:t>
            </w:r>
            <w:r w:rsidR="00A15427" w:rsidRPr="00A15427">
              <w:rPr>
                <w:rFonts w:ascii="Times New Roman" w:eastAsia="Times New Roman" w:hAnsi="Times New Roman" w:cs="Times New Roman"/>
                <w:noProof/>
                <w:color w:val="FF0000"/>
                <w:sz w:val="24"/>
                <w:szCs w:val="24"/>
                <w:lang w:val="en-US"/>
              </w:rPr>
              <w:t xml:space="preserve"> от 1</w:t>
            </w:r>
            <w:r w:rsidR="00A15427" w:rsidRPr="00A15427">
              <w:rPr>
                <w:rFonts w:ascii="Times New Roman" w:eastAsia="Times New Roman" w:hAnsi="Times New Roman" w:cs="Times New Roman"/>
                <w:noProof/>
                <w:color w:val="FF0000"/>
                <w:sz w:val="24"/>
                <w:szCs w:val="24"/>
                <w:lang w:val="bg-BG"/>
              </w:rPr>
              <w:t>2</w:t>
            </w:r>
            <w:r w:rsidR="00A15427" w:rsidRPr="00627DB9">
              <w:rPr>
                <w:rFonts w:ascii="Times New Roman" w:eastAsia="Times New Roman" w:hAnsi="Times New Roman" w:cs="Times New Roman"/>
                <w:noProof/>
                <w:color w:val="FF0000"/>
                <w:sz w:val="24"/>
                <w:szCs w:val="24"/>
                <w:lang w:val="en-US"/>
              </w:rPr>
              <w:t xml:space="preserve"> </w:t>
            </w:r>
            <w:r w:rsidR="00A15427" w:rsidRPr="00A15427">
              <w:rPr>
                <w:rFonts w:ascii="Times New Roman" w:eastAsia="Times New Roman" w:hAnsi="Times New Roman" w:cs="Times New Roman"/>
                <w:noProof/>
                <w:color w:val="FF0000"/>
                <w:sz w:val="24"/>
                <w:szCs w:val="24"/>
                <w:lang w:val="bg-BG"/>
              </w:rPr>
              <w:t>декември</w:t>
            </w:r>
            <w:r w:rsidR="00A15427" w:rsidRPr="00A15427">
              <w:rPr>
                <w:rFonts w:ascii="Times New Roman" w:eastAsia="Times New Roman" w:hAnsi="Times New Roman" w:cs="Times New Roman"/>
                <w:noProof/>
                <w:color w:val="FF0000"/>
                <w:sz w:val="24"/>
                <w:szCs w:val="24"/>
                <w:lang w:val="en-US"/>
              </w:rPr>
              <w:t xml:space="preserve"> 202</w:t>
            </w:r>
            <w:r w:rsidR="00A15427" w:rsidRPr="00A15427">
              <w:rPr>
                <w:rFonts w:ascii="Times New Roman" w:eastAsia="Times New Roman" w:hAnsi="Times New Roman" w:cs="Times New Roman"/>
                <w:noProof/>
                <w:color w:val="FF0000"/>
                <w:sz w:val="24"/>
                <w:szCs w:val="24"/>
                <w:lang w:val="bg-BG"/>
              </w:rPr>
              <w:t>4</w:t>
            </w:r>
            <w:r w:rsidR="00A15427" w:rsidRPr="00627DB9">
              <w:rPr>
                <w:rFonts w:ascii="Times New Roman" w:eastAsia="Times New Roman" w:hAnsi="Times New Roman" w:cs="Times New Roman"/>
                <w:noProof/>
                <w:color w:val="FF0000"/>
                <w:sz w:val="24"/>
                <w:szCs w:val="24"/>
                <w:lang w:val="en-US"/>
              </w:rPr>
              <w:t xml:space="preserve"> г. на МС е одобрена Националната програма за профилактика, надзор</w:t>
            </w:r>
            <w:r w:rsidR="00A15427" w:rsidRPr="00A15427">
              <w:rPr>
                <w:rFonts w:ascii="Times New Roman" w:eastAsia="Times New Roman" w:hAnsi="Times New Roman" w:cs="Times New Roman"/>
                <w:noProof/>
                <w:color w:val="FF0000"/>
                <w:sz w:val="24"/>
                <w:szCs w:val="24"/>
                <w:lang w:val="bg-BG"/>
              </w:rPr>
              <w:t>, контрол</w:t>
            </w:r>
            <w:r w:rsidR="00A15427" w:rsidRPr="00627DB9">
              <w:rPr>
                <w:rFonts w:ascii="Times New Roman" w:eastAsia="Times New Roman" w:hAnsi="Times New Roman" w:cs="Times New Roman"/>
                <w:noProof/>
                <w:color w:val="FF0000"/>
                <w:sz w:val="24"/>
                <w:szCs w:val="24"/>
                <w:lang w:val="en-US"/>
              </w:rPr>
              <w:t xml:space="preserve"> и ликвидиране на болестите по животните, включително зоонозите, в Ре</w:t>
            </w:r>
            <w:r w:rsidR="00A15427" w:rsidRPr="00A15427">
              <w:rPr>
                <w:rFonts w:ascii="Times New Roman" w:eastAsia="Times New Roman" w:hAnsi="Times New Roman" w:cs="Times New Roman"/>
                <w:noProof/>
                <w:color w:val="FF0000"/>
                <w:sz w:val="24"/>
                <w:szCs w:val="24"/>
                <w:lang w:val="en-US"/>
              </w:rPr>
              <w:t>публика България за периода 202</w:t>
            </w:r>
            <w:r w:rsidR="00A15427" w:rsidRPr="00A15427">
              <w:rPr>
                <w:rFonts w:ascii="Times New Roman" w:eastAsia="Times New Roman" w:hAnsi="Times New Roman" w:cs="Times New Roman"/>
                <w:noProof/>
                <w:color w:val="FF0000"/>
                <w:sz w:val="24"/>
                <w:szCs w:val="24"/>
                <w:lang w:val="bg-BG"/>
              </w:rPr>
              <w:t>5</w:t>
            </w:r>
            <w:r w:rsidR="00A15427" w:rsidRPr="00A15427">
              <w:rPr>
                <w:rFonts w:ascii="Times New Roman" w:eastAsia="Times New Roman" w:hAnsi="Times New Roman" w:cs="Times New Roman"/>
                <w:noProof/>
                <w:color w:val="FF0000"/>
                <w:sz w:val="24"/>
                <w:szCs w:val="24"/>
                <w:lang w:val="en-US"/>
              </w:rPr>
              <w:t xml:space="preserve"> – 202</w:t>
            </w:r>
            <w:r w:rsidR="00A15427" w:rsidRPr="00A15427">
              <w:rPr>
                <w:rFonts w:ascii="Times New Roman" w:eastAsia="Times New Roman" w:hAnsi="Times New Roman" w:cs="Times New Roman"/>
                <w:noProof/>
                <w:color w:val="FF0000"/>
                <w:sz w:val="24"/>
                <w:szCs w:val="24"/>
                <w:lang w:val="bg-BG"/>
              </w:rPr>
              <w:t>7</w:t>
            </w:r>
            <w:r w:rsidR="00A15427" w:rsidRPr="00627DB9">
              <w:rPr>
                <w:rFonts w:ascii="Times New Roman" w:eastAsia="Times New Roman" w:hAnsi="Times New Roman" w:cs="Times New Roman"/>
                <w:noProof/>
                <w:color w:val="FF0000"/>
                <w:sz w:val="24"/>
                <w:szCs w:val="24"/>
                <w:lang w:val="en-US"/>
              </w:rPr>
              <w:t xml:space="preserve"> г. </w:t>
            </w:r>
            <w:r w:rsidRPr="00627DB9">
              <w:rPr>
                <w:rFonts w:ascii="Times New Roman" w:eastAsia="Times New Roman" w:hAnsi="Times New Roman" w:cs="Times New Roman"/>
                <w:noProof/>
                <w:sz w:val="24"/>
                <w:szCs w:val="24"/>
                <w:lang w:val="en-US"/>
              </w:rPr>
              <w:t>В част VII са включени профилактичните мероприятия на болести, които не се заплащат от държавния бюджет.</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По дейността могат да се покриват и разходи, произтичащи от увеличения брой посещения от регистрирания ветеринарен лекар, сключил договор по чл. 137б, ал. 2 от ЗВД със земеделския стопанин, като честота е пропорционална на рисковете, свързани със съответния животновъден обект.</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Въз основа на посещенията и проверките в животновъдния обект, регистрираният ветеринарен лекар изготвя програма за превенция и контрол на значимите заболявания за категориите животни, в която се включва: описание на епидемичната обстановка и съответната информация, използвана като основание за оценката, в т.ч. преценка от регистрирания ветеринарен лекар, обслужващ животновъдния обект, за необходимостта от назначаване и вземане на кръвни проби, като част от диагностиката за определяне на здравния статус на животните с оглед правилна преценка за кои болести да бъдат включени ваксини в имунопрофилктичния план/схема; основните и конкретни цели с избраната стратегия за ваксинация и план за профилактична ваксинация; животновъдните обекти и животни, в които се отглеждат допустимите категории животни и тези, в които трябва да бъде извършена ваксинация, ако се различават; освободени от ваксинация, и обосновката за това; предвидената крайна употреба на ваксинираните животни и продуктите; правилата за поставяне на ваксината и системата за следене на поставянето на ваксината; предвидената продължителност на ваксинацията — от началото на ваксинацията до приключване на надзора, провеждан след ваксинацията; обобщение на характеристиките на ваксината; хигиенните правила и правилата за биологична сигурност, които трябва да се прилагат; вид на провежданите лечения и количествата използвани антимикробни средства в животновъдния обект през предходни години, както и друга информация съгласно националното законодателство.</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Изготвената програма от регистрирания ветеринарен лекар се заверява/одобрява от съответното ОДБХ, на територията на която се намира животновъдния обект.</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Разходите за дейността са свързани с поставяне на ваксини, извършване на допълнителни прегледи от страна на регистрирания ветеринарен лекар, разходи за вземане на проби от животни /партиди продукти и др., като в ИС на БАБХ се въвежда информация относно ваксинацията, която включва информацията за животните, в съответствие с изискванията на нормативната уредба.</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Списъкът на тези заболявания и информация за одобрените за тях ваксини се изготвя и одобрява от Българската агенция по безопасност на храните, като включва информация за видове и категории животни, период на прилагане и др.</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 xml:space="preserve">Животни от един и същи вид, заявени по интервенция </w:t>
            </w:r>
            <w:r w:rsidRPr="00942B1E">
              <w:rPr>
                <w:rFonts w:ascii="Times New Roman" w:eastAsia="Times New Roman" w:hAnsi="Times New Roman" w:cs="Times New Roman"/>
                <w:strike/>
                <w:noProof/>
                <w:color w:val="FF0000"/>
                <w:sz w:val="24"/>
                <w:szCs w:val="24"/>
                <w:highlight w:val="yellow"/>
                <w:lang w:val="en-US"/>
              </w:rPr>
              <w:t>I.В.1 - Еко схема за биологично земеделие (селскостопански животни) по чл. 31 или</w:t>
            </w:r>
            <w:r w:rsidRPr="00942B1E">
              <w:rPr>
                <w:rFonts w:ascii="Times New Roman" w:eastAsia="Times New Roman" w:hAnsi="Times New Roman" w:cs="Times New Roman"/>
                <w:noProof/>
                <w:color w:val="FF0000"/>
                <w:sz w:val="24"/>
                <w:szCs w:val="24"/>
                <w:highlight w:val="yellow"/>
                <w:lang w:val="en-US"/>
              </w:rPr>
              <w:t xml:space="preserve"> </w:t>
            </w:r>
            <w:r w:rsidR="00742D82" w:rsidRPr="00942B1E">
              <w:rPr>
                <w:rFonts w:ascii="Times New Roman" w:eastAsia="Times New Roman" w:hAnsi="Times New Roman" w:cs="Times New Roman"/>
                <w:noProof/>
                <w:color w:val="FF0000"/>
                <w:sz w:val="24"/>
                <w:szCs w:val="24"/>
                <w:highlight w:val="yellow"/>
                <w:lang w:val="bg-BG"/>
              </w:rPr>
              <w:t>„Биологично животновъдство“ по</w:t>
            </w:r>
            <w:r w:rsidR="00742D82">
              <w:rPr>
                <w:rFonts w:ascii="Times New Roman" w:eastAsia="Times New Roman" w:hAnsi="Times New Roman" w:cs="Times New Roman"/>
                <w:noProof/>
                <w:color w:val="FF0000"/>
                <w:sz w:val="24"/>
                <w:szCs w:val="24"/>
                <w:lang w:val="bg-BG"/>
              </w:rPr>
              <w:t xml:space="preserve"> </w:t>
            </w:r>
            <w:r w:rsidRPr="00627DB9">
              <w:rPr>
                <w:rFonts w:ascii="Times New Roman" w:eastAsia="Times New Roman" w:hAnsi="Times New Roman" w:cs="Times New Roman"/>
                <w:noProof/>
                <w:sz w:val="24"/>
                <w:szCs w:val="24"/>
                <w:lang w:val="en-US"/>
              </w:rPr>
              <w:t>чл. 70 от Регламент (ЕС) 2021/2115, не са допустими за подпомагане по интервенцията „Хуманно отношение към животните и антимикробна резистентност“.</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Подпомагането за свине и птици ще продължи по досегашния ред, чрез използване на инструмента за финансиране „Държавна помощ“.</w:t>
            </w:r>
          </w:p>
        </w:tc>
      </w:tr>
    </w:tbl>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lastRenderedPageBreak/>
        <w:t>Определете бенефициерите, отговарящи на критериите, както и специфичните критерии за допустимост, когато е приложимо за бенефициерите и площта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627DB9" w:rsidRPr="00627DB9" w:rsidTr="00517E0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Активни земеделски стопани, отглеждащи едри преживни животни (ЕПЖ) и/или дребни преживни животни (ДПЖ).</w:t>
            </w:r>
          </w:p>
        </w:tc>
      </w:tr>
    </w:tbl>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Задайте отговарящите на критериите вид подпомагане (извън обхвата на ИСАК) или ангажименти (ИСАК) и други задължения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627DB9" w:rsidRPr="00627DB9" w:rsidTr="00517E0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lastRenderedPageBreak/>
              <w:t>ИСАК базирана интервенция</w:t>
            </w:r>
          </w:p>
        </w:tc>
      </w:tr>
    </w:tbl>
    <w:p w:rsidR="00627DB9" w:rsidRPr="00627DB9" w:rsidRDefault="00627DB9" w:rsidP="00627DB9">
      <w:pPr>
        <w:spacing w:before="20" w:after="20" w:line="240" w:lineRule="auto"/>
        <w:outlineLvl w:val="4"/>
        <w:rPr>
          <w:rFonts w:ascii="Times New Roman" w:eastAsia="Times New Roman" w:hAnsi="Times New Roman" w:cs="Times New Roman"/>
          <w:bCs/>
          <w:iCs/>
          <w:color w:val="000000"/>
          <w:sz w:val="24"/>
          <w:szCs w:val="26"/>
          <w:lang w:val="en-US"/>
        </w:rPr>
      </w:pPr>
      <w:bookmarkStart w:id="7" w:name="_Toc256001347"/>
      <w:r w:rsidRPr="00627DB9">
        <w:rPr>
          <w:rFonts w:ascii="Times New Roman" w:eastAsia="Times New Roman" w:hAnsi="Times New Roman" w:cs="Times New Roman"/>
          <w:bCs/>
          <w:iCs/>
          <w:noProof/>
          <w:color w:val="000000"/>
          <w:sz w:val="24"/>
          <w:szCs w:val="26"/>
          <w:lang w:val="en-US"/>
        </w:rPr>
        <w:t>6 Определяне на уместни базови характеристики</w:t>
      </w:r>
      <w:bookmarkEnd w:id="7"/>
    </w:p>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 xml:space="preserve"> (приложими стандарти за ДЗЕС, законоустановени изисквания за управление (ЗИУ) и други задължителни изисквания, установени в националното право и правото на Съюза), когато е приложимо, описание на специфичните уместни задължения съгласно ЗИУ и обяснение как ангажиментът надхвърля задължителните изисквания (както е посочено в член 28, параграф 5, член 70, параграф 3 и член 72, параграф 5)</w:t>
      </w:r>
    </w:p>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Списък на приложимите стандарти за ДЗЕС и ЗИУ</w:t>
      </w:r>
    </w:p>
    <w:p w:rsidR="00627DB9" w:rsidRPr="00627DB9" w:rsidRDefault="00627DB9" w:rsidP="00627DB9">
      <w:pPr>
        <w:spacing w:before="20" w:after="20" w:line="240" w:lineRule="auto"/>
        <w:rPr>
          <w:rFonts w:ascii="Times New Roman" w:eastAsia="Times New Roman" w:hAnsi="Times New Roman" w:cs="Times New Roman"/>
          <w:color w:val="000000"/>
          <w:sz w:val="0"/>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627DB9" w:rsidRPr="00627DB9" w:rsidTr="00517E0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7DB9" w:rsidRPr="00627DB9" w:rsidRDefault="00627DB9" w:rsidP="00627DB9">
            <w:pPr>
              <w:spacing w:before="20" w:after="20" w:line="240" w:lineRule="auto"/>
              <w:rPr>
                <w:rFonts w:ascii="Times New Roman" w:eastAsia="Times New Roman" w:hAnsi="Times New Roman" w:cs="Times New Roman"/>
                <w:b/>
                <w:color w:val="000000"/>
                <w:sz w:val="20"/>
                <w:szCs w:val="24"/>
                <w:lang w:val="en-US"/>
              </w:rPr>
            </w:pPr>
            <w:r w:rsidRPr="00627DB9">
              <w:rPr>
                <w:rFonts w:ascii="Times New Roman" w:eastAsia="Times New Roman" w:hAnsi="Times New Roman" w:cs="Times New Roman"/>
                <w:b/>
                <w:noProof/>
                <w:color w:val="000000"/>
                <w:sz w:val="20"/>
                <w:szCs w:val="24"/>
                <w:lang w:val="en-US"/>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b/>
                <w:noProof/>
                <w:color w:val="000000"/>
                <w:sz w:val="20"/>
                <w:szCs w:val="24"/>
                <w:lang w:val="en-US"/>
              </w:rPr>
              <w:t>Описание</w:t>
            </w:r>
          </w:p>
        </w:tc>
      </w:tr>
      <w:tr w:rsidR="00627DB9" w:rsidRPr="00627DB9" w:rsidTr="00517E0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SMR09</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Директива 2008/119/ЕО на Съвета от 18 декември 2008 г. за определяне на минимални стандарти за защита на телетата: членове 3 и 4</w:t>
            </w:r>
          </w:p>
        </w:tc>
      </w:tr>
      <w:tr w:rsidR="00627DB9" w:rsidRPr="00627DB9" w:rsidTr="00517E0C">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SMR11</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Директива 98/58/ЕО на Съвета от 20 юли 1998 г. относно защитата на животни, отглеждани за селскостопански цели: член 4</w:t>
            </w:r>
          </w:p>
        </w:tc>
      </w:tr>
    </w:tbl>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Списък на приложимите задължителни национални стандарти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627DB9" w:rsidRPr="00627DB9" w:rsidTr="00517E0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Наредба № 14 от 2006 г. за минималните изисквания за хуманно отношение при отглеждане на телета;</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Наредба № 16 от 2006 г. за защита и хуманно отношение при отглеждане и използване на селскостопански животни;</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Наредба № 44 от 20 април 2006 г. за ветеринарномедицинските изисквания към животновъдните обекти;</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Националната програма за профилактика, надзор, контрол и ликвидиране на болестите по животните, включително зоонозите;</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Националната мониторингова програма за контрол на остатъци от ветеринарномедицински продукти и замърсители от околната среда в живи животни и продукти от животински произход, разработвана от БАБХ и в съответствие с изискванията на Наредба № 11 от 14 юли 2021 г. за мерките за контрол върху определени субстанции и остатъци от тях в живи животни и храни от животински произход, предназначени за консумация от хора.</w:t>
            </w:r>
          </w:p>
        </w:tc>
      </w:tr>
    </w:tbl>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Връзка на стандартите за ДЗЕС, ЗИУ и националните стандарти с интервенцията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627DB9" w:rsidRPr="00627DB9" w:rsidTr="00517E0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color w:val="000000"/>
                <w:sz w:val="24"/>
                <w:szCs w:val="24"/>
                <w:lang w:val="en-US"/>
              </w:rPr>
              <w:t>Кандидатите спазват Законоустановените изисквания за управление (ЗИУ), съгласно законодателството на Съюза и националните стандарти за ДЗЕС, неразделна част от система от предварителни условия, описана в националния Стратегически план. Помощта се отпуска само за покриване на допълнителни разходи или пропуснати доходи, свързани с изпълнение на доброволни ангажименти, които надхвърлят задължителните стандарти или други изисквания и стандарти от националното законодателство.</w:t>
            </w:r>
          </w:p>
        </w:tc>
      </w:tr>
    </w:tbl>
    <w:p w:rsidR="00627DB9" w:rsidRPr="00627DB9" w:rsidRDefault="00627DB9" w:rsidP="00627DB9">
      <w:pPr>
        <w:spacing w:before="20" w:after="20" w:line="240" w:lineRule="auto"/>
        <w:outlineLvl w:val="4"/>
        <w:rPr>
          <w:rFonts w:ascii="Times New Roman" w:eastAsia="Times New Roman" w:hAnsi="Times New Roman" w:cs="Times New Roman"/>
          <w:bCs/>
          <w:iCs/>
          <w:color w:val="000000"/>
          <w:sz w:val="24"/>
          <w:szCs w:val="26"/>
          <w:lang w:val="en-US"/>
        </w:rPr>
      </w:pPr>
      <w:bookmarkStart w:id="8" w:name="_Toc256001348"/>
      <w:r w:rsidRPr="00627DB9">
        <w:rPr>
          <w:rFonts w:ascii="Times New Roman" w:eastAsia="Times New Roman" w:hAnsi="Times New Roman" w:cs="Times New Roman"/>
          <w:bCs/>
          <w:iCs/>
          <w:noProof/>
          <w:color w:val="000000"/>
          <w:sz w:val="24"/>
          <w:szCs w:val="26"/>
          <w:lang w:val="en-US"/>
        </w:rPr>
        <w:t>7 Форма и ставка на подпомагане/суми/методи за изчисляване</w:t>
      </w:r>
      <w:bookmarkEnd w:id="8"/>
    </w:p>
    <w:p w:rsidR="00627DB9" w:rsidRPr="00627DB9" w:rsidRDefault="00627DB9" w:rsidP="00627DB9">
      <w:pPr>
        <w:spacing w:before="20" w:after="20" w:line="240" w:lineRule="auto"/>
        <w:rPr>
          <w:rFonts w:ascii="Times New Roman" w:eastAsia="Times New Roman" w:hAnsi="Times New Roman" w:cs="Times New Roman"/>
          <w:b/>
          <w:color w:val="000000"/>
          <w:sz w:val="24"/>
          <w:szCs w:val="24"/>
          <w:lang w:val="en-US"/>
        </w:rPr>
      </w:pPr>
      <w:r w:rsidRPr="00627DB9">
        <w:rPr>
          <w:rFonts w:ascii="Wingdings" w:eastAsia="Wingdings" w:hAnsi="Wingdings" w:cs="Wingdings"/>
          <w:b/>
          <w:noProof/>
          <w:color w:val="000000"/>
          <w:sz w:val="24"/>
          <w:szCs w:val="24"/>
          <w:lang w:val="en-US"/>
        </w:rPr>
        <w:t></w:t>
      </w:r>
      <w:r w:rsidRPr="00627DB9">
        <w:rPr>
          <w:rFonts w:ascii="Times New Roman" w:eastAsia="Times New Roman" w:hAnsi="Times New Roman" w:cs="Times New Roman"/>
          <w:b/>
          <w:noProof/>
          <w:color w:val="000000"/>
          <w:sz w:val="24"/>
          <w:szCs w:val="24"/>
          <w:lang w:val="en-US"/>
        </w:rPr>
        <w:t xml:space="preserve"> В обхвата на ИСАК</w:t>
      </w:r>
    </w:p>
    <w:p w:rsidR="00627DB9" w:rsidRPr="00627DB9" w:rsidRDefault="00627DB9" w:rsidP="00627DB9">
      <w:pPr>
        <w:spacing w:before="20" w:after="20" w:line="240" w:lineRule="auto"/>
        <w:rPr>
          <w:rFonts w:ascii="Times New Roman" w:eastAsia="Times New Roman" w:hAnsi="Times New Roman" w:cs="Times New Roman"/>
          <w:b/>
          <w:color w:val="000000"/>
          <w:sz w:val="24"/>
          <w:szCs w:val="24"/>
          <w:lang w:val="en-US"/>
        </w:rPr>
      </w:pPr>
      <w:r w:rsidRPr="00627DB9">
        <w:rPr>
          <w:rFonts w:ascii="Wingdings" w:eastAsia="Wingdings" w:hAnsi="Wingdings" w:cs="Wingdings"/>
          <w:b/>
          <w:noProof/>
          <w:color w:val="000000"/>
          <w:sz w:val="24"/>
          <w:szCs w:val="24"/>
          <w:lang w:val="en-US"/>
        </w:rPr>
        <w:t></w:t>
      </w:r>
      <w:r w:rsidRPr="00627DB9">
        <w:rPr>
          <w:rFonts w:ascii="Times New Roman" w:eastAsia="Times New Roman" w:hAnsi="Times New Roman" w:cs="Times New Roman"/>
          <w:b/>
          <w:noProof/>
          <w:color w:val="000000"/>
          <w:sz w:val="24"/>
          <w:szCs w:val="24"/>
          <w:lang w:val="en-US"/>
        </w:rPr>
        <w:t xml:space="preserve"> Извън обхвата на ИСАК</w:t>
      </w:r>
    </w:p>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p>
    <w:p w:rsidR="00627DB9" w:rsidRPr="00627DB9" w:rsidRDefault="00627DB9" w:rsidP="00627DB9">
      <w:pPr>
        <w:spacing w:before="20" w:after="20" w:line="240" w:lineRule="auto"/>
        <w:rPr>
          <w:rFonts w:ascii="Times New Roman" w:eastAsia="Times New Roman" w:hAnsi="Times New Roman" w:cs="Times New Roman"/>
          <w:color w:val="000000"/>
          <w:sz w:val="28"/>
          <w:szCs w:val="24"/>
          <w:lang w:val="en-US"/>
        </w:rPr>
      </w:pPr>
      <w:r w:rsidRPr="00627DB9">
        <w:rPr>
          <w:rFonts w:ascii="Times New Roman" w:eastAsia="Times New Roman" w:hAnsi="Times New Roman" w:cs="Times New Roman"/>
          <w:noProof/>
          <w:color w:val="000000"/>
          <w:sz w:val="28"/>
          <w:szCs w:val="24"/>
          <w:lang w:val="en-US"/>
        </w:rPr>
        <w:t>Раздел в обхвата на ИСАК</w:t>
      </w:r>
    </w:p>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Вид на плащането</w:t>
      </w:r>
    </w:p>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Wingdings" w:eastAsia="Wingdings" w:hAnsi="Wingdings" w:cs="Wingdings"/>
          <w:noProof/>
          <w:color w:val="000000"/>
          <w:sz w:val="24"/>
          <w:szCs w:val="24"/>
          <w:lang w:val="en-US"/>
        </w:rPr>
        <w:t></w:t>
      </w:r>
      <w:r w:rsidRPr="00627DB9">
        <w:rPr>
          <w:rFonts w:ascii="Times New Roman" w:eastAsia="Times New Roman" w:hAnsi="Times New Roman" w:cs="Times New Roman"/>
          <w:noProof/>
          <w:color w:val="000000"/>
          <w:sz w:val="24"/>
          <w:szCs w:val="24"/>
          <w:lang w:val="en-US"/>
        </w:rPr>
        <w:t xml:space="preserve"> производствени разходи въз основа на допълнителните разходи и пропуснатите приходи</w:t>
      </w:r>
    </w:p>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Wingdings" w:eastAsia="Wingdings" w:hAnsi="Wingdings" w:cs="Wingdings"/>
          <w:noProof/>
          <w:color w:val="000000"/>
          <w:sz w:val="24"/>
          <w:szCs w:val="24"/>
          <w:lang w:val="en-US"/>
        </w:rPr>
        <w:t></w:t>
      </w:r>
      <w:r w:rsidRPr="00627DB9">
        <w:rPr>
          <w:rFonts w:ascii="Times New Roman" w:eastAsia="Times New Roman" w:hAnsi="Times New Roman" w:cs="Times New Roman"/>
          <w:noProof/>
          <w:color w:val="000000"/>
          <w:sz w:val="24"/>
          <w:szCs w:val="24"/>
          <w:lang w:val="en-US"/>
        </w:rPr>
        <w:t xml:space="preserve"> включени трансакционни разходи</w:t>
      </w:r>
    </w:p>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Wingdings" w:eastAsia="Wingdings" w:hAnsi="Wingdings" w:cs="Wingdings"/>
          <w:noProof/>
          <w:color w:val="000000"/>
          <w:sz w:val="24"/>
          <w:szCs w:val="24"/>
          <w:lang w:val="en-US"/>
        </w:rPr>
        <w:t></w:t>
      </w:r>
      <w:r w:rsidRPr="00627DB9">
        <w:rPr>
          <w:rFonts w:ascii="Times New Roman" w:eastAsia="Times New Roman" w:hAnsi="Times New Roman" w:cs="Times New Roman"/>
          <w:noProof/>
          <w:color w:val="000000"/>
          <w:sz w:val="24"/>
          <w:szCs w:val="24"/>
          <w:lang w:val="en-US"/>
        </w:rPr>
        <w:t xml:space="preserve"> еднократно плащане</w:t>
      </w:r>
    </w:p>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Wingdings" w:eastAsia="Wingdings" w:hAnsi="Wingdings" w:cs="Wingdings"/>
          <w:noProof/>
          <w:color w:val="000000"/>
          <w:sz w:val="24"/>
          <w:szCs w:val="24"/>
          <w:lang w:val="en-US"/>
        </w:rPr>
        <w:t></w:t>
      </w:r>
      <w:r w:rsidRPr="00627DB9">
        <w:rPr>
          <w:rFonts w:ascii="Times New Roman" w:eastAsia="Times New Roman" w:hAnsi="Times New Roman" w:cs="Times New Roman"/>
          <w:noProof/>
          <w:color w:val="000000"/>
          <w:sz w:val="24"/>
          <w:szCs w:val="24"/>
          <w:lang w:val="en-US"/>
        </w:rPr>
        <w:t xml:space="preserve"> еднократна сума</w:t>
      </w:r>
    </w:p>
    <w:p w:rsidR="00627DB9" w:rsidRPr="00627DB9" w:rsidRDefault="00627DB9" w:rsidP="00627DB9">
      <w:pPr>
        <w:spacing w:before="20" w:after="20" w:line="240" w:lineRule="auto"/>
        <w:rPr>
          <w:rFonts w:ascii="Times New Roman" w:eastAsia="Times New Roman" w:hAnsi="Times New Roman" w:cs="Times New Roman"/>
          <w:color w:val="000000"/>
          <w:sz w:val="12"/>
          <w:szCs w:val="24"/>
          <w:lang w:val="en-US"/>
        </w:rPr>
      </w:pPr>
    </w:p>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Обхват на подпомагането на равнище бенефициер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627DB9" w:rsidRPr="00627DB9" w:rsidTr="00517E0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 xml:space="preserve">По интервенцията ще се предоставя финансова помощ за допълнителни разходи и пропуснати доходи, свързани с изпълнението на доброволно поети едногодишни ангажименти по една или комбинация от дейности за хуманно отношение към животните и намаляване на антимикробната резистентност. </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lastRenderedPageBreak/>
              <w:t>Нива на подпомагане:</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1. Осигуряване на благоприятна жизнена среда/свободна подова площ на животните:</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Направление - Осигуряване на благоприятна жизнена среда/свободна подова площ за ЕПЖ:</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 за ЕПЖ над 24 м. - 91 евро/ЖЕ;</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-за говеда и биволи от 6 - 24 м. - 63 евро/ЖЕ;</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-за телета и малачета - 54 евро/ЖЕ;</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Направление - "Осигуряване на благоприятна жизнена среда/свободна подова площ за ДПЖ" - 103 евро/ЖЕ;</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2. дейност "Осигуряване на свободно отглеждане на открито":</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 говеда и биволи над 6-месечна възраст - 36 евро/ЖЕ;</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 животни от рода на овцете и козите (ДПЖ) - 31 евро/ЖЕ;</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От 2024 г.:</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1. Осигуряване на благоприятна жизнена среда/свободна подова площ на животните:</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Направление - Осигуряване на благоприятна жизнена среда/свободна подова площ за ЕПЖ:</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 ЕПЖ над 24 м – 106 евро/ЖЕ</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 за говеда и биволи от 6 - 24 м - 75 евро/ЖЕ</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 за телета и малачета – 64 евро/ЖЕ</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Направление - Осигуряване на благоприятна жизнена среда/свободна подова площ за ДПЖ - 111 евро/ЖЕ</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2. Осигуряване на свободно отглеждане на открито:</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 говеда и биволи над 6-месечна възраст - 61 евро/ЖЕ</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 животни от рода на овцете и козите (ДПЖ) - 44 евро/ЖЕ</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3. Намаляване употребата на антимикробни средства:</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 за ДПЖ - 89 евро/ЖЕ</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 за ЕПЖ над 24 м. - 77 евро/ЖЕ</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 за ЕПЖ от 6 до 24 м. - 54 евро/ЖЕ</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 за телета и малачета - 46 евро/ЖЕ</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Освен това, за да се спази бюджетния пакет, горна граница (таван) за стопанство може да се определи ежегодно. Тя ще бъде приложена към общата сума на плащането, отпуснато на бенефициента съгласно степента, в която е ангажиран.</w:t>
            </w:r>
          </w:p>
        </w:tc>
      </w:tr>
    </w:tbl>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lastRenderedPageBreak/>
        <w:t>Метод на изчисляване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627DB9" w:rsidRPr="00627DB9" w:rsidTr="00517E0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Помощта по интервенцията се отпуска за покриване на допълнителни разходи или пропуснати доходи, свързани с изпълнение на доброволни ангажименти.</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Помощта покрива само онези задължения, които надвишават задължителните стандарти и други задължителни изисквания, наложени чрез националното законодателство. Изчисленията съгласно чл. 82 от Регламент (ЕС) 2021/2115 са направени от организация, която е функционално независима от органите, отговарящи за изпълнението на стратегическия план по ОСП, и която разполага с подходящите експертни знания.</w:t>
            </w:r>
          </w:p>
        </w:tc>
      </w:tr>
    </w:tbl>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Допълнително обяснение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627DB9" w:rsidRPr="00627DB9" w:rsidTr="00517E0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color w:val="000000"/>
                <w:sz w:val="24"/>
                <w:szCs w:val="24"/>
                <w:lang w:val="en-US"/>
              </w:rPr>
              <w:t xml:space="preserve">Основните компоненти и променливи включени в методиката и послужили за изчисляване на компенсаторните ставки са всяка една дейност водещи до по-хуманно отношение към животните се категоризират, като: производствени, ценови, трудови, технологични и ветеринарни. Алгоритъмът на изчисляване се основава на спецификацията, че земеделските стопани прилагащи завишените изисквания за хуманно отношение търпят пропуснати ползи от намаления брой животни, които могат да отглеждат при равни други условия в техните помещения и влошената ефективност при свободно отглеждане на животните. </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color w:val="000000"/>
                <w:sz w:val="24"/>
                <w:szCs w:val="24"/>
                <w:lang w:val="en-US"/>
              </w:rPr>
              <w:t xml:space="preserve">При дейността целяща намаляване използването на антимикробни препарати се калкулират заместването на тези препарати с разширяване периметрите на ваксинация, профилактична </w:t>
            </w:r>
            <w:r w:rsidRPr="00627DB9">
              <w:rPr>
                <w:rFonts w:ascii="Times New Roman" w:eastAsia="Times New Roman" w:hAnsi="Times New Roman" w:cs="Times New Roman"/>
                <w:noProof/>
                <w:color w:val="000000"/>
                <w:sz w:val="24"/>
                <w:szCs w:val="24"/>
                <w:lang w:val="en-US"/>
              </w:rPr>
              <w:lastRenderedPageBreak/>
              <w:t xml:space="preserve">дейност и мониторинг на животните. За дейността осигуряване на свободна подова площ от 15% над минималните изисквания е направено изчисление за пропуснатите ползи и респективно приходи от намалението на животинска единица при ЕПЖ и ДПЖ с 15% и оттам за необходимата компенсация върху останалите животни. Осигуряване на свободно отглеждане на открито на ЕПЖ и ДПЖ предвижда увеличаване на броя дни годишно за пасищно отглеждане на животните. </w:t>
            </w:r>
          </w:p>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color w:val="000000"/>
                <w:sz w:val="24"/>
                <w:szCs w:val="24"/>
                <w:lang w:val="en-US"/>
              </w:rPr>
              <w:t>При дейността за намаляване използването на антимикробни препарати се калкулират не пропуснати ползи от това, че се увеличава заболеваемостта, а допълнителни разходи, които целят подобряване на профилактиката, навлизане на нови ваксинационни програми и засилване на диагностичната и превантивна грижа. Дейността изисква засилване на превенцията и контрола на риска от заболявания на ниво животновъден обект, което налага разширяване ролята на самите стопани, както и ангажиране на нови и по-големи ветеринарни грижи.</w:t>
            </w:r>
          </w:p>
        </w:tc>
      </w:tr>
    </w:tbl>
    <w:p w:rsidR="00627DB9" w:rsidRPr="00627DB9" w:rsidRDefault="00627DB9" w:rsidP="00627DB9">
      <w:pPr>
        <w:spacing w:before="20" w:after="20" w:line="240" w:lineRule="auto"/>
        <w:outlineLvl w:val="4"/>
        <w:rPr>
          <w:rFonts w:ascii="Times New Roman" w:eastAsia="Times New Roman" w:hAnsi="Times New Roman" w:cs="Times New Roman"/>
          <w:bCs/>
          <w:iCs/>
          <w:color w:val="000000"/>
          <w:sz w:val="24"/>
          <w:szCs w:val="26"/>
          <w:lang w:val="en-US"/>
        </w:rPr>
      </w:pPr>
      <w:bookmarkStart w:id="9" w:name="_Toc256001349"/>
      <w:r w:rsidRPr="00627DB9">
        <w:rPr>
          <w:rFonts w:ascii="Times New Roman" w:eastAsia="Times New Roman" w:hAnsi="Times New Roman" w:cs="Times New Roman"/>
          <w:bCs/>
          <w:iCs/>
          <w:noProof/>
          <w:color w:val="000000"/>
          <w:sz w:val="24"/>
          <w:szCs w:val="26"/>
          <w:lang w:val="en-US"/>
        </w:rPr>
        <w:lastRenderedPageBreak/>
        <w:t>8 Информация относно оценката за държавна помощ</w:t>
      </w:r>
      <w:bookmarkEnd w:id="9"/>
    </w:p>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Интервенцията попада извън приложното поле на член 42 от ДФЕС и подлежи на оценка за държавна помощ:</w:t>
      </w:r>
    </w:p>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Wingdings" w:eastAsia="Wingdings" w:hAnsi="Wingdings" w:cs="Wingdings"/>
          <w:noProof/>
          <w:color w:val="000000"/>
          <w:sz w:val="24"/>
          <w:szCs w:val="24"/>
          <w:lang w:val="en-US"/>
        </w:rPr>
        <w:t></w:t>
      </w:r>
      <w:r w:rsidRPr="00627DB9">
        <w:rPr>
          <w:rFonts w:ascii="Times New Roman" w:eastAsia="Times New Roman" w:hAnsi="Times New Roman" w:cs="Times New Roman"/>
          <w:noProof/>
          <w:color w:val="000000"/>
          <w:sz w:val="24"/>
          <w:szCs w:val="24"/>
          <w:lang w:val="en-US"/>
        </w:rPr>
        <w:t xml:space="preserve"> Да      </w:t>
      </w:r>
      <w:r w:rsidRPr="00627DB9">
        <w:rPr>
          <w:rFonts w:ascii="Wingdings" w:eastAsia="Wingdings" w:hAnsi="Wingdings" w:cs="Wingdings"/>
          <w:noProof/>
          <w:color w:val="000000"/>
          <w:sz w:val="24"/>
          <w:szCs w:val="24"/>
          <w:lang w:val="en-US"/>
        </w:rPr>
        <w:t></w:t>
      </w:r>
      <w:r w:rsidRPr="00627DB9">
        <w:rPr>
          <w:rFonts w:ascii="Times New Roman" w:eastAsia="Times New Roman" w:hAnsi="Times New Roman" w:cs="Times New Roman"/>
          <w:noProof/>
          <w:color w:val="000000"/>
          <w:sz w:val="24"/>
          <w:szCs w:val="24"/>
          <w:lang w:val="en-US"/>
        </w:rPr>
        <w:t xml:space="preserve"> Не      </w:t>
      </w:r>
      <w:r w:rsidRPr="00627DB9">
        <w:rPr>
          <w:rFonts w:ascii="Wingdings" w:eastAsia="Wingdings" w:hAnsi="Wingdings" w:cs="Wingdings"/>
          <w:noProof/>
          <w:color w:val="000000"/>
          <w:sz w:val="24"/>
          <w:szCs w:val="24"/>
          <w:lang w:val="en-US"/>
        </w:rPr>
        <w:t></w:t>
      </w:r>
      <w:r w:rsidRPr="00627DB9">
        <w:rPr>
          <w:rFonts w:ascii="Times New Roman" w:eastAsia="Times New Roman" w:hAnsi="Times New Roman" w:cs="Times New Roman"/>
          <w:noProof/>
          <w:color w:val="000000"/>
          <w:sz w:val="24"/>
          <w:szCs w:val="24"/>
          <w:lang w:val="en-US"/>
        </w:rPr>
        <w:t xml:space="preserve"> Смесено участие      </w:t>
      </w:r>
    </w:p>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p>
    <w:p w:rsidR="00627DB9" w:rsidRPr="00627DB9" w:rsidRDefault="00627DB9" w:rsidP="00627DB9">
      <w:pPr>
        <w:spacing w:before="20" w:after="20" w:line="240" w:lineRule="auto"/>
        <w:outlineLvl w:val="4"/>
        <w:rPr>
          <w:rFonts w:ascii="Times New Roman" w:eastAsia="Times New Roman" w:hAnsi="Times New Roman" w:cs="Times New Roman"/>
          <w:bCs/>
          <w:iCs/>
          <w:color w:val="000000"/>
          <w:sz w:val="24"/>
          <w:szCs w:val="26"/>
          <w:lang w:val="en-US"/>
        </w:rPr>
      </w:pPr>
      <w:bookmarkStart w:id="10" w:name="_Toc256001350"/>
      <w:r w:rsidRPr="00627DB9">
        <w:rPr>
          <w:rFonts w:ascii="Times New Roman" w:eastAsia="Times New Roman" w:hAnsi="Times New Roman" w:cs="Times New Roman"/>
          <w:bCs/>
          <w:iCs/>
          <w:noProof/>
          <w:color w:val="000000"/>
          <w:sz w:val="24"/>
          <w:szCs w:val="26"/>
          <w:lang w:val="en-US"/>
        </w:rPr>
        <w:t>9 Допълнителни въпроси/информация за вида на интервенцията</w:t>
      </w:r>
      <w:bookmarkEnd w:id="10"/>
    </w:p>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Какви са моделите на ангажимента(ите) в интервенцията?</w:t>
      </w:r>
    </w:p>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Wingdings" w:eastAsia="Wingdings" w:hAnsi="Wingdings" w:cs="Wingdings"/>
          <w:noProof/>
          <w:color w:val="000000"/>
          <w:sz w:val="24"/>
          <w:szCs w:val="24"/>
          <w:lang w:val="en-US"/>
        </w:rPr>
        <w:t></w:t>
      </w:r>
      <w:r w:rsidRPr="00627DB9">
        <w:rPr>
          <w:rFonts w:ascii="Times New Roman" w:eastAsia="Times New Roman" w:hAnsi="Times New Roman" w:cs="Times New Roman"/>
          <w:noProof/>
          <w:color w:val="000000"/>
          <w:sz w:val="24"/>
          <w:szCs w:val="24"/>
          <w:lang w:val="en-US"/>
        </w:rPr>
        <w:t xml:space="preserve"> на база резултати (с възможност за избор)</w:t>
      </w:r>
    </w:p>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Wingdings" w:eastAsia="Wingdings" w:hAnsi="Wingdings" w:cs="Wingdings"/>
          <w:noProof/>
          <w:color w:val="000000"/>
          <w:sz w:val="24"/>
          <w:szCs w:val="24"/>
          <w:lang w:val="en-US"/>
        </w:rPr>
        <w:t></w:t>
      </w:r>
      <w:r w:rsidRPr="00627DB9">
        <w:rPr>
          <w:rFonts w:ascii="Times New Roman" w:eastAsia="Times New Roman" w:hAnsi="Times New Roman" w:cs="Times New Roman"/>
          <w:noProof/>
          <w:color w:val="000000"/>
          <w:sz w:val="24"/>
          <w:szCs w:val="24"/>
          <w:lang w:val="en-US"/>
        </w:rPr>
        <w:t xml:space="preserve"> на база управление (с възможност за избор)</w:t>
      </w:r>
    </w:p>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Wingdings" w:eastAsia="Wingdings" w:hAnsi="Wingdings" w:cs="Wingdings"/>
          <w:noProof/>
          <w:color w:val="000000"/>
          <w:sz w:val="24"/>
          <w:szCs w:val="24"/>
          <w:lang w:val="en-US"/>
        </w:rPr>
        <w:t></w:t>
      </w:r>
      <w:r w:rsidRPr="00627DB9">
        <w:rPr>
          <w:rFonts w:ascii="Times New Roman" w:eastAsia="Times New Roman" w:hAnsi="Times New Roman" w:cs="Times New Roman"/>
          <w:noProof/>
          <w:color w:val="000000"/>
          <w:sz w:val="24"/>
          <w:szCs w:val="24"/>
          <w:lang w:val="en-US"/>
        </w:rPr>
        <w:t xml:space="preserve"> хибридни (основани на управление и резултати)</w:t>
      </w:r>
    </w:p>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p>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Моля, обяснете задълженията/възможностите за бенефициерите във връзка с ангажиментите, залегнали в интервенцията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627DB9" w:rsidRPr="00627DB9" w:rsidTr="00517E0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color w:val="000000"/>
                <w:sz w:val="24"/>
                <w:szCs w:val="24"/>
                <w:lang w:val="en-US"/>
              </w:rPr>
              <w:t xml:space="preserve">Кандидатите могат да избират да изпълняват един или комбинация от ангажименти, свързани с хуманно отношение към животните и намаляване на антимикробната резистентност. </w:t>
            </w:r>
          </w:p>
        </w:tc>
      </w:tr>
    </w:tbl>
    <w:p w:rsidR="00627DB9" w:rsidRPr="00627DB9" w:rsidRDefault="00627DB9" w:rsidP="00627DB9">
      <w:pPr>
        <w:spacing w:before="20" w:after="20" w:line="240" w:lineRule="auto"/>
        <w:rPr>
          <w:rFonts w:ascii="Times New Roman" w:eastAsia="Times New Roman" w:hAnsi="Times New Roman" w:cs="Times New Roman"/>
          <w:color w:val="000000"/>
          <w:sz w:val="0"/>
          <w:szCs w:val="24"/>
          <w:lang w:val="en-US"/>
        </w:rPr>
      </w:pPr>
    </w:p>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Каква е продължителността на договорите?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627DB9" w:rsidRPr="00627DB9" w:rsidTr="00517E0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color w:val="000000"/>
                <w:sz w:val="24"/>
                <w:szCs w:val="24"/>
                <w:lang w:val="en-US"/>
              </w:rPr>
              <w:t>Едногодишни ангажименти</w:t>
            </w:r>
          </w:p>
        </w:tc>
      </w:tr>
    </w:tbl>
    <w:p w:rsidR="00627DB9" w:rsidRPr="00627DB9" w:rsidRDefault="00627DB9" w:rsidP="00627DB9">
      <w:pPr>
        <w:spacing w:before="20" w:after="20" w:line="240" w:lineRule="auto"/>
        <w:rPr>
          <w:rFonts w:ascii="Times New Roman" w:eastAsia="Times New Roman" w:hAnsi="Times New Roman" w:cs="Times New Roman"/>
          <w:color w:val="000000"/>
          <w:sz w:val="0"/>
          <w:szCs w:val="24"/>
          <w:lang w:val="en-US"/>
        </w:rPr>
      </w:pPr>
    </w:p>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p>
    <w:p w:rsidR="00627DB9" w:rsidRPr="00627DB9" w:rsidRDefault="00627DB9" w:rsidP="00627DB9">
      <w:pPr>
        <w:spacing w:before="20" w:after="20" w:line="240" w:lineRule="auto"/>
        <w:outlineLvl w:val="4"/>
        <w:rPr>
          <w:rFonts w:ascii="Times New Roman" w:eastAsia="Times New Roman" w:hAnsi="Times New Roman" w:cs="Times New Roman"/>
          <w:bCs/>
          <w:iCs/>
          <w:color w:val="000000"/>
          <w:sz w:val="24"/>
          <w:szCs w:val="26"/>
          <w:lang w:val="en-US"/>
        </w:rPr>
      </w:pPr>
      <w:bookmarkStart w:id="11" w:name="_Toc256001351"/>
      <w:r w:rsidRPr="00627DB9">
        <w:rPr>
          <w:rFonts w:ascii="Times New Roman" w:eastAsia="Times New Roman" w:hAnsi="Times New Roman" w:cs="Times New Roman"/>
          <w:bCs/>
          <w:iCs/>
          <w:noProof/>
          <w:color w:val="000000"/>
          <w:sz w:val="24"/>
          <w:szCs w:val="26"/>
          <w:lang w:val="en-US"/>
        </w:rPr>
        <w:t>10 Съответствие с правилата на СТО</w:t>
      </w:r>
      <w:bookmarkEnd w:id="11"/>
    </w:p>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 xml:space="preserve"> Зелена кутия</w:t>
      </w:r>
    </w:p>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Параграф 12 от приложение 2 към Споразумението за СТО</w:t>
      </w:r>
    </w:p>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Разяснение как интервенцията спазва съответните разпоредби на приложение 2 към Споразумението за СТО за селското стопанство, както е посочено в член 10 от настоящия регламент и в приложение II към него(зелена кутия)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627DB9" w:rsidRPr="00627DB9" w:rsidTr="00517E0C">
        <w:trPr>
          <w:trHeight w:val="160"/>
        </w:trPr>
        <w:tc>
          <w:tcPr>
            <w:tcW w:w="50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color w:val="000000"/>
                <w:sz w:val="24"/>
                <w:szCs w:val="24"/>
                <w:lang w:val="en-US"/>
              </w:rPr>
              <w:t>Интервенцията отговаря на критериите на параграф 12 от приложение 2 към Споразумението на СТО за селското стопанство (Зелена кутия), посочени в Приложение II към Регламент (ЕС)</w:t>
            </w:r>
          </w:p>
        </w:tc>
      </w:tr>
    </w:tbl>
    <w:p w:rsidR="00627DB9" w:rsidRPr="00627DB9" w:rsidRDefault="00627DB9" w:rsidP="00627DB9">
      <w:pPr>
        <w:spacing w:before="20" w:after="20" w:line="240" w:lineRule="auto"/>
        <w:outlineLvl w:val="4"/>
        <w:rPr>
          <w:rFonts w:ascii="Times New Roman" w:eastAsia="Times New Roman" w:hAnsi="Times New Roman" w:cs="Times New Roman"/>
          <w:bCs/>
          <w:iCs/>
          <w:color w:val="000000"/>
          <w:sz w:val="24"/>
          <w:szCs w:val="26"/>
          <w:lang w:val="en-US"/>
        </w:rPr>
      </w:pPr>
      <w:bookmarkStart w:id="12" w:name="_Toc256001352"/>
      <w:r w:rsidRPr="00627DB9">
        <w:rPr>
          <w:rFonts w:ascii="Times New Roman" w:eastAsia="Times New Roman" w:hAnsi="Times New Roman" w:cs="Times New Roman"/>
          <w:bCs/>
          <w:iCs/>
          <w:noProof/>
          <w:color w:val="000000"/>
          <w:sz w:val="24"/>
          <w:szCs w:val="26"/>
          <w:lang w:val="en-US"/>
        </w:rPr>
        <w:t>11 Процентно участие, приложимо за тази интервенция</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4"/>
        <w:gridCol w:w="3233"/>
        <w:gridCol w:w="1863"/>
        <w:gridCol w:w="1872"/>
        <w:gridCol w:w="1948"/>
      </w:tblGrid>
      <w:tr w:rsidR="00627DB9" w:rsidRPr="00627DB9" w:rsidTr="00517E0C">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b/>
                <w:color w:val="000000"/>
                <w:sz w:val="20"/>
                <w:szCs w:val="24"/>
                <w:lang w:val="en-US"/>
              </w:rPr>
            </w:pPr>
            <w:r w:rsidRPr="00627DB9">
              <w:rPr>
                <w:rFonts w:ascii="Times New Roman" w:eastAsia="Times New Roman" w:hAnsi="Times New Roman" w:cs="Times New Roman"/>
                <w:b/>
                <w:noProof/>
                <w:color w:val="000000"/>
                <w:sz w:val="20"/>
                <w:szCs w:val="24"/>
                <w:lang w:val="en-US"/>
              </w:rPr>
              <w:t>Регион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b/>
                <w:color w:val="000000"/>
                <w:sz w:val="20"/>
                <w:szCs w:val="24"/>
                <w:lang w:val="en-US"/>
              </w:rPr>
            </w:pPr>
            <w:r w:rsidRPr="00627DB9">
              <w:rPr>
                <w:rFonts w:ascii="Times New Roman" w:eastAsia="Times New Roman" w:hAnsi="Times New Roman" w:cs="Times New Roman"/>
                <w:b/>
                <w:noProof/>
                <w:color w:val="000000"/>
                <w:sz w:val="20"/>
                <w:szCs w:val="24"/>
                <w:lang w:val="en-US"/>
              </w:rPr>
              <w:t>Член</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b/>
                <w:color w:val="000000"/>
                <w:sz w:val="20"/>
                <w:szCs w:val="24"/>
                <w:lang w:val="en-US"/>
              </w:rPr>
            </w:pPr>
            <w:r w:rsidRPr="00627DB9">
              <w:rPr>
                <w:rFonts w:ascii="Times New Roman" w:eastAsia="Times New Roman" w:hAnsi="Times New Roman" w:cs="Times New Roman"/>
                <w:b/>
                <w:noProof/>
                <w:color w:val="000000"/>
                <w:sz w:val="20"/>
                <w:szCs w:val="24"/>
                <w:lang w:val="en-US"/>
              </w:rPr>
              <w:t>Приложима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b/>
                <w:color w:val="000000"/>
                <w:sz w:val="20"/>
                <w:szCs w:val="24"/>
                <w:lang w:val="en-US"/>
              </w:rPr>
            </w:pPr>
            <w:r w:rsidRPr="00627DB9">
              <w:rPr>
                <w:rFonts w:ascii="Times New Roman" w:eastAsia="Times New Roman" w:hAnsi="Times New Roman" w:cs="Times New Roman"/>
                <w:b/>
                <w:noProof/>
                <w:color w:val="000000"/>
                <w:sz w:val="20"/>
                <w:szCs w:val="24"/>
                <w:lang w:val="en-US"/>
              </w:rPr>
              <w:t>Минимална ставка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b/>
                <w:noProof/>
                <w:color w:val="000000"/>
                <w:sz w:val="20"/>
                <w:szCs w:val="24"/>
                <w:lang w:val="en-US"/>
              </w:rPr>
              <w:t>Максимална ставка</w:t>
            </w:r>
          </w:p>
        </w:tc>
      </w:tr>
      <w:tr w:rsidR="00627DB9" w:rsidRPr="00627DB9" w:rsidTr="00517E0C">
        <w:trPr>
          <w:trHeight w:val="24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 xml:space="preserve">BG - България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91(2)(a) - По-слабо развити 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jc w:val="right"/>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jc w:val="right"/>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20,00%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jc w:val="right"/>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85,00%</w:t>
            </w:r>
          </w:p>
        </w:tc>
      </w:tr>
    </w:tbl>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sectPr w:rsidR="00627DB9" w:rsidRPr="00627DB9">
          <w:pgSz w:w="11906" w:h="16838"/>
          <w:pgMar w:top="720" w:right="720" w:bottom="864" w:left="936" w:header="288" w:footer="72" w:gutter="0"/>
          <w:cols w:space="720"/>
          <w:noEndnote/>
          <w:docGrid w:linePitch="360"/>
        </w:sectPr>
      </w:pPr>
    </w:p>
    <w:p w:rsidR="00627DB9" w:rsidRPr="00627DB9" w:rsidRDefault="00627DB9" w:rsidP="00627DB9">
      <w:pPr>
        <w:spacing w:before="20" w:after="20" w:line="240" w:lineRule="auto"/>
        <w:outlineLvl w:val="4"/>
        <w:rPr>
          <w:rFonts w:ascii="Times New Roman" w:eastAsia="Times New Roman" w:hAnsi="Times New Roman" w:cs="Times New Roman"/>
          <w:bCs/>
          <w:iCs/>
          <w:color w:val="000000"/>
          <w:sz w:val="24"/>
          <w:szCs w:val="26"/>
          <w:lang w:val="en-US"/>
        </w:rPr>
      </w:pPr>
      <w:bookmarkStart w:id="13" w:name="_Toc256001353"/>
      <w:r w:rsidRPr="00627DB9">
        <w:rPr>
          <w:rFonts w:ascii="Times New Roman" w:eastAsia="Times New Roman" w:hAnsi="Times New Roman" w:cs="Times New Roman"/>
          <w:bCs/>
          <w:iCs/>
          <w:noProof/>
          <w:color w:val="000000"/>
          <w:sz w:val="24"/>
          <w:szCs w:val="26"/>
          <w:lang w:val="en-US"/>
        </w:rPr>
        <w:lastRenderedPageBreak/>
        <w:t>12 Планирани единични суми — определение</w:t>
      </w:r>
      <w:bookmarkEnd w:id="13"/>
    </w:p>
    <w:p w:rsidR="00627DB9" w:rsidRPr="00627DB9" w:rsidRDefault="00627DB9" w:rsidP="00627DB9">
      <w:pPr>
        <w:spacing w:before="20" w:after="20" w:line="240" w:lineRule="auto"/>
        <w:rPr>
          <w:rFonts w:ascii="Times New Roman" w:eastAsia="Times New Roman" w:hAnsi="Times New Roman" w:cs="Times New Roman"/>
          <w:color w:val="000000"/>
          <w:sz w:val="0"/>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6"/>
        <w:gridCol w:w="1556"/>
        <w:gridCol w:w="1394"/>
        <w:gridCol w:w="2123"/>
        <w:gridCol w:w="921"/>
        <w:gridCol w:w="1840"/>
        <w:gridCol w:w="2878"/>
      </w:tblGrid>
      <w:tr w:rsidR="00627DB9" w:rsidRPr="00627DB9" w:rsidTr="00517E0C">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b/>
                <w:color w:val="000000"/>
                <w:sz w:val="20"/>
                <w:szCs w:val="24"/>
                <w:lang w:val="en-US"/>
              </w:rPr>
            </w:pPr>
            <w:r w:rsidRPr="00627DB9">
              <w:rPr>
                <w:rFonts w:ascii="Times New Roman" w:eastAsia="Times New Roman" w:hAnsi="Times New Roman" w:cs="Times New Roman"/>
                <w:b/>
                <w:noProof/>
                <w:color w:val="000000"/>
                <w:sz w:val="20"/>
                <w:szCs w:val="24"/>
                <w:lang w:val="en-US"/>
              </w:rPr>
              <w:t>Планирана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b/>
                <w:color w:val="000000"/>
                <w:sz w:val="20"/>
                <w:szCs w:val="24"/>
                <w:lang w:val="en-US"/>
              </w:rPr>
            </w:pPr>
            <w:r w:rsidRPr="00627DB9">
              <w:rPr>
                <w:rFonts w:ascii="Times New Roman" w:eastAsia="Times New Roman" w:hAnsi="Times New Roman" w:cs="Times New Roman"/>
                <w:b/>
                <w:noProof/>
                <w:color w:val="000000"/>
                <w:sz w:val="20"/>
                <w:szCs w:val="24"/>
                <w:lang w:val="en-US"/>
              </w:rPr>
              <w:t>Вид на подкрепата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b/>
                <w:color w:val="000000"/>
                <w:sz w:val="20"/>
                <w:szCs w:val="24"/>
                <w:lang w:val="en-US"/>
              </w:rPr>
            </w:pPr>
            <w:r w:rsidRPr="00627DB9">
              <w:rPr>
                <w:rFonts w:ascii="Times New Roman" w:eastAsia="Times New Roman" w:hAnsi="Times New Roman" w:cs="Times New Roman"/>
                <w:b/>
                <w:noProof/>
                <w:color w:val="000000"/>
                <w:sz w:val="20"/>
                <w:szCs w:val="24"/>
                <w:lang w:val="en-US"/>
              </w:rPr>
              <w:t>Процентни участия</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b/>
                <w:color w:val="000000"/>
                <w:sz w:val="20"/>
                <w:szCs w:val="24"/>
                <w:lang w:val="en-US"/>
              </w:rPr>
            </w:pPr>
            <w:r w:rsidRPr="00627DB9">
              <w:rPr>
                <w:rFonts w:ascii="Times New Roman" w:eastAsia="Times New Roman" w:hAnsi="Times New Roman" w:cs="Times New Roman"/>
                <w:b/>
                <w:noProof/>
                <w:color w:val="000000"/>
                <w:sz w:val="20"/>
                <w:szCs w:val="24"/>
                <w:lang w:val="en-US"/>
              </w:rPr>
              <w:t>Вид на планираната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b/>
                <w:color w:val="000000"/>
                <w:sz w:val="20"/>
                <w:szCs w:val="24"/>
                <w:lang w:val="en-US"/>
              </w:rPr>
            </w:pPr>
            <w:r w:rsidRPr="00627DB9">
              <w:rPr>
                <w:rFonts w:ascii="Times New Roman" w:eastAsia="Times New Roman" w:hAnsi="Times New Roman" w:cs="Times New Roman"/>
                <w:b/>
                <w:noProof/>
                <w:color w:val="000000"/>
                <w:sz w:val="20"/>
                <w:szCs w:val="24"/>
                <w:lang w:val="en-US"/>
              </w:rPr>
              <w:t>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b/>
                <w:color w:val="000000"/>
                <w:sz w:val="20"/>
                <w:szCs w:val="24"/>
                <w:lang w:val="en-US"/>
              </w:rPr>
            </w:pPr>
            <w:r w:rsidRPr="00627DB9">
              <w:rPr>
                <w:rFonts w:ascii="Times New Roman" w:eastAsia="Times New Roman" w:hAnsi="Times New Roman" w:cs="Times New Roman"/>
                <w:b/>
                <w:noProof/>
                <w:color w:val="000000"/>
                <w:sz w:val="20"/>
                <w:szCs w:val="24"/>
                <w:lang w:val="en-US"/>
              </w:rPr>
              <w:t>Показател(и) за резултатите</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b/>
                <w:noProof/>
                <w:color w:val="000000"/>
                <w:sz w:val="20"/>
                <w:szCs w:val="24"/>
                <w:lang w:val="en-US"/>
              </w:rPr>
              <w:t>Единичната сума основава ли се на пренесени разходи?</w:t>
            </w:r>
          </w:p>
        </w:tc>
      </w:tr>
      <w:tr w:rsidR="00627DB9" w:rsidRPr="00627DB9" w:rsidTr="00517E0C">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AMR DPJ - Плащане за ДПЖ за намаляване на АМР</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R.43; R.44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Не</w:t>
            </w:r>
          </w:p>
        </w:tc>
      </w:tr>
      <w:tr w:rsidR="00627DB9" w:rsidRPr="00627DB9" w:rsidTr="00517E0C">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AMR EPJ 24 - Плащане за ЕПЖ над 24 м. за намаляване на АМР</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R.43; R.44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Не</w:t>
            </w:r>
          </w:p>
        </w:tc>
      </w:tr>
      <w:tr w:rsidR="00627DB9" w:rsidRPr="00627DB9" w:rsidTr="00517E0C">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AMR EPJ 6-24 - Плащане за ЕПЖ от 6 до 24 м. за намаляване на АМР</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R.43; R.44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Не</w:t>
            </w:r>
          </w:p>
        </w:tc>
      </w:tr>
      <w:tr w:rsidR="00627DB9" w:rsidRPr="00627DB9" w:rsidTr="00517E0C">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AMR calves - Плащане за намаляване на АМР за телета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R.43; R.44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Не</w:t>
            </w:r>
          </w:p>
        </w:tc>
      </w:tr>
      <w:tr w:rsidR="00627DB9" w:rsidRPr="00627DB9" w:rsidTr="00517E0C">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AW DPJ - Плащане за ДПЖ за свободна подова площ</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R.43; R.44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Не</w:t>
            </w:r>
          </w:p>
        </w:tc>
      </w:tr>
      <w:tr w:rsidR="00627DB9" w:rsidRPr="00627DB9" w:rsidTr="00517E0C">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AW DPJ graze - Плащане за ДПЖ за свободно отглеждане на открито</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R.43; R.44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Не</w:t>
            </w:r>
          </w:p>
        </w:tc>
      </w:tr>
      <w:tr w:rsidR="00627DB9" w:rsidRPr="00627DB9" w:rsidTr="00517E0C">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AW EPJ 24 - Плащане за ЕПЖ над 24 м. за свободна подова площ</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R.43; R.44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Не</w:t>
            </w:r>
          </w:p>
        </w:tc>
      </w:tr>
      <w:tr w:rsidR="00627DB9" w:rsidRPr="00627DB9" w:rsidTr="00517E0C">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AW EPJ 6-24 - Плащане за ЕПЖ от 6- 24 м. за свободна подова площ</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R.43; R.44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Не</w:t>
            </w:r>
          </w:p>
        </w:tc>
      </w:tr>
      <w:tr w:rsidR="00627DB9" w:rsidRPr="00627DB9" w:rsidTr="00517E0C">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AW EPJ graze - Плащане за ЕПЖ за свободно отглеждане на открито</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R.43; R.44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Не</w:t>
            </w:r>
          </w:p>
        </w:tc>
      </w:tr>
      <w:tr w:rsidR="00627DB9" w:rsidRPr="00627DB9" w:rsidTr="00517E0C">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AW calves - Плащане за свободна подова площ за телета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Безвъзмездни средства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91(2)(a)-BG-40,00%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Хомогенен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R.43; R.44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rsidR="00627DB9" w:rsidRPr="00627DB9" w:rsidRDefault="00627DB9" w:rsidP="00627DB9">
            <w:pPr>
              <w:spacing w:before="20" w:after="20" w:line="240" w:lineRule="auto"/>
              <w:rPr>
                <w:rFonts w:ascii="Times New Roman" w:eastAsia="Times New Roman" w:hAnsi="Times New Roman" w:cs="Times New Roman"/>
                <w:color w:val="000000"/>
                <w:sz w:val="20"/>
                <w:szCs w:val="24"/>
                <w:lang w:val="en-US"/>
              </w:rPr>
            </w:pPr>
            <w:r w:rsidRPr="00627DB9">
              <w:rPr>
                <w:rFonts w:ascii="Times New Roman" w:eastAsia="Times New Roman" w:hAnsi="Times New Roman" w:cs="Times New Roman"/>
                <w:noProof/>
                <w:color w:val="000000"/>
                <w:sz w:val="20"/>
                <w:szCs w:val="24"/>
                <w:lang w:val="en-US"/>
              </w:rPr>
              <w:t>Не</w:t>
            </w:r>
          </w:p>
        </w:tc>
      </w:tr>
    </w:tbl>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Обяснение и обосновка, свързани с размера на единичната сума</w:t>
      </w:r>
    </w:p>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AMR DPJ - Плащане за ДПЖ за намаляване на АМР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48"/>
      </w:tblGrid>
      <w:tr w:rsidR="00627DB9" w:rsidRPr="00627DB9" w:rsidTr="00517E0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НП</w:t>
            </w:r>
          </w:p>
        </w:tc>
      </w:tr>
    </w:tbl>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AMR EPJ 24 - Плащане за ЕПЖ над 24 м. за намаляване на АМР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48"/>
      </w:tblGrid>
      <w:tr w:rsidR="00627DB9" w:rsidRPr="00627DB9" w:rsidTr="00517E0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НП</w:t>
            </w:r>
          </w:p>
        </w:tc>
      </w:tr>
    </w:tbl>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AMR EPJ 6-24 - Плащане за ЕПЖ от 6 до 24 м. за намаляване на АМР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48"/>
      </w:tblGrid>
      <w:tr w:rsidR="00627DB9" w:rsidRPr="00627DB9" w:rsidTr="00517E0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НП</w:t>
            </w:r>
          </w:p>
        </w:tc>
      </w:tr>
    </w:tbl>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lastRenderedPageBreak/>
        <w:t>AMR calves - Плащане за намаляване на АМР за телета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48"/>
      </w:tblGrid>
      <w:tr w:rsidR="00627DB9" w:rsidRPr="00627DB9" w:rsidTr="00517E0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НП</w:t>
            </w:r>
          </w:p>
        </w:tc>
      </w:tr>
    </w:tbl>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AW DPJ - Плащане за ДПЖ за свободна подова площ</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48"/>
      </w:tblGrid>
      <w:tr w:rsidR="00627DB9" w:rsidRPr="00627DB9" w:rsidTr="00517E0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color w:val="000000"/>
                <w:sz w:val="24"/>
                <w:szCs w:val="24"/>
                <w:lang w:val="en-US"/>
              </w:rPr>
              <w:t>НП</w:t>
            </w:r>
          </w:p>
        </w:tc>
      </w:tr>
    </w:tbl>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AW DPJ graze - Плащане за ДПЖ за свободно отглеждане на открито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48"/>
      </w:tblGrid>
      <w:tr w:rsidR="00627DB9" w:rsidRPr="00627DB9" w:rsidTr="00517E0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НП</w:t>
            </w:r>
          </w:p>
        </w:tc>
      </w:tr>
    </w:tbl>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AW EPJ 24 - Плащане за ЕПЖ над 24 м. за свободна подова площ</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48"/>
      </w:tblGrid>
      <w:tr w:rsidR="00627DB9" w:rsidRPr="00627DB9" w:rsidTr="00517E0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НП</w:t>
            </w:r>
          </w:p>
        </w:tc>
      </w:tr>
    </w:tbl>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AW EPJ 6-24 - Плащане за ЕПЖ от 6- 24 м. за свободна подова площ</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48"/>
      </w:tblGrid>
      <w:tr w:rsidR="00627DB9" w:rsidRPr="00627DB9" w:rsidTr="00517E0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color w:val="000000"/>
                <w:sz w:val="24"/>
                <w:szCs w:val="24"/>
                <w:lang w:val="en-US"/>
              </w:rPr>
              <w:t>НП</w:t>
            </w:r>
          </w:p>
        </w:tc>
      </w:tr>
    </w:tbl>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AW EPJ graze - Плащане за ЕПЖ за свободно отглеждане на открито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48"/>
      </w:tblGrid>
      <w:tr w:rsidR="00627DB9" w:rsidRPr="00627DB9" w:rsidTr="00517E0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НП</w:t>
            </w:r>
          </w:p>
        </w:tc>
      </w:tr>
    </w:tbl>
    <w:p w:rsidR="00627DB9" w:rsidRPr="00627DB9" w:rsidRDefault="00627DB9" w:rsidP="00627DB9">
      <w:pPr>
        <w:spacing w:before="20" w:after="20" w:line="240" w:lineRule="auto"/>
        <w:rPr>
          <w:rFonts w:ascii="Times New Roman" w:eastAsia="Times New Roman" w:hAnsi="Times New Roman" w:cs="Times New Roman"/>
          <w:color w:val="000000"/>
          <w:sz w:val="24"/>
          <w:szCs w:val="24"/>
          <w:lang w:val="en-US"/>
        </w:rPr>
      </w:pPr>
      <w:r w:rsidRPr="00627DB9">
        <w:rPr>
          <w:rFonts w:ascii="Times New Roman" w:eastAsia="Times New Roman" w:hAnsi="Times New Roman" w:cs="Times New Roman"/>
          <w:noProof/>
          <w:color w:val="000000"/>
          <w:sz w:val="24"/>
          <w:szCs w:val="24"/>
          <w:lang w:val="en-US"/>
        </w:rPr>
        <w:t>AW calves - Плащане за свободна подова площ за телета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48"/>
      </w:tblGrid>
      <w:tr w:rsidR="00627DB9" w:rsidRPr="00627DB9" w:rsidTr="00517E0C">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627DB9" w:rsidRPr="00627DB9" w:rsidRDefault="00627DB9" w:rsidP="00627DB9">
            <w:pPr>
              <w:spacing w:before="40" w:after="40" w:line="240" w:lineRule="auto"/>
              <w:rPr>
                <w:rFonts w:ascii="Times New Roman" w:eastAsia="Times New Roman" w:hAnsi="Times New Roman" w:cs="Times New Roman"/>
                <w:sz w:val="24"/>
                <w:szCs w:val="24"/>
                <w:lang w:val="en-US"/>
              </w:rPr>
            </w:pPr>
            <w:r w:rsidRPr="00627DB9">
              <w:rPr>
                <w:rFonts w:ascii="Times New Roman" w:eastAsia="Times New Roman" w:hAnsi="Times New Roman" w:cs="Times New Roman"/>
                <w:noProof/>
                <w:sz w:val="24"/>
                <w:szCs w:val="24"/>
                <w:lang w:val="en-US"/>
              </w:rPr>
              <w:t>НП</w:t>
            </w:r>
          </w:p>
        </w:tc>
      </w:tr>
    </w:tbl>
    <w:p w:rsidR="00627DB9" w:rsidRPr="00627DB9" w:rsidRDefault="00627DB9" w:rsidP="00627DB9">
      <w:pPr>
        <w:spacing w:before="20" w:after="20" w:line="240" w:lineRule="auto"/>
        <w:rPr>
          <w:rFonts w:ascii="Times New Roman" w:eastAsia="Times New Roman" w:hAnsi="Times New Roman" w:cs="Times New Roman"/>
          <w:color w:val="000000"/>
          <w:sz w:val="0"/>
          <w:szCs w:val="24"/>
          <w:lang w:val="en-US"/>
        </w:rPr>
      </w:pPr>
    </w:p>
    <w:p w:rsidR="002B43C1" w:rsidRDefault="002B43C1"/>
    <w:sectPr w:rsidR="002B43C1" w:rsidSect="00627DB9">
      <w:pgSz w:w="16838" w:h="11906" w:orient="landscape"/>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EE1"/>
    <w:rsid w:val="002B43C1"/>
    <w:rsid w:val="003859F1"/>
    <w:rsid w:val="00627DB9"/>
    <w:rsid w:val="00742D82"/>
    <w:rsid w:val="0077509A"/>
    <w:rsid w:val="00942B1E"/>
    <w:rsid w:val="00A15427"/>
    <w:rsid w:val="00BD7EE1"/>
    <w:rsid w:val="00DB32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B5623"/>
  <w15:chartTrackingRefBased/>
  <w15:docId w15:val="{5D9ADEEC-688F-4573-8624-CBD281B22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8</Pages>
  <Words>3252</Words>
  <Characters>18541</Characters>
  <Application>Microsoft Office Word</Application>
  <DocSecurity>0</DocSecurity>
  <Lines>154</Lines>
  <Paragraphs>43</Paragraphs>
  <ScaleCrop>false</ScaleCrop>
  <Company/>
  <LinksUpToDate>false</LinksUpToDate>
  <CharactersWithSpaces>21750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Milkana Gotseva</dc:creator>
  <cp:keywords/>
  <dc:description/>
  <cp:lastModifiedBy>Miglena Hadzhiyska</cp:lastModifiedBy>
  <cp:revision>8</cp:revision>
  <dcterms:created xsi:type="dcterms:W3CDTF">2025-08-11T10:00:00Z</dcterms:created>
  <dcterms:modified xsi:type="dcterms:W3CDTF">2025-09-05T12:48:00Z</dcterms:modified>
</cp:coreProperties>
</file>